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473DE">
      <w:pPr>
        <w:keepNext w:val="0"/>
        <w:keepLines w:val="0"/>
        <w:pageBreakBefore w:val="0"/>
        <w:widowControl/>
        <w:kinsoku/>
        <w:wordWrap/>
        <w:overflowPunct/>
        <w:topLinePunct w:val="0"/>
        <w:autoSpaceDE/>
        <w:autoSpaceDN/>
        <w:bidi w:val="0"/>
        <w:adjustRightInd w:val="0"/>
        <w:snapToGrid w:val="0"/>
        <w:spacing w:after="437" w:afterLines="100" w:line="660"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lang w:val="en-US" w:eastAsia="zh-CN"/>
        </w:rPr>
      </w:pPr>
      <w:r>
        <w:rPr>
          <w:rFonts w:hint="eastAsia" w:eastAsia="方正小标宋简体" w:cs="Times New Roman"/>
          <w:b w:val="0"/>
          <w:bCs/>
          <w:sz w:val="44"/>
          <w:szCs w:val="44"/>
          <w:highlight w:val="none"/>
          <w:shd w:val="clear" w:color="auto" w:fill="FFFFFF"/>
          <w:lang w:val="en-US" w:eastAsia="zh-CN"/>
        </w:rPr>
        <w:t>泸县总工会</w:t>
      </w:r>
      <w:bookmarkStart w:id="0" w:name="_GoBack"/>
      <w:bookmarkEnd w:id="0"/>
    </w:p>
    <w:p w14:paraId="544B680B">
      <w:pPr>
        <w:keepNext w:val="0"/>
        <w:keepLines w:val="0"/>
        <w:pageBreakBefore w:val="0"/>
        <w:widowControl/>
        <w:kinsoku/>
        <w:wordWrap/>
        <w:overflowPunct/>
        <w:topLinePunct w:val="0"/>
        <w:autoSpaceDE/>
        <w:autoSpaceDN/>
        <w:bidi w:val="0"/>
        <w:adjustRightInd w:val="0"/>
        <w:snapToGrid w:val="0"/>
        <w:spacing w:after="437" w:afterLines="100" w:line="660" w:lineRule="exact"/>
        <w:contextualSpacing/>
        <w:jc w:val="center"/>
        <w:textAlignment w:val="auto"/>
        <w:outlineLvl w:val="9"/>
        <w:rPr>
          <w:rFonts w:hint="default"/>
        </w:rPr>
      </w:pPr>
      <w:r>
        <w:rPr>
          <w:rFonts w:hint="eastAsia" w:eastAsia="方正小标宋简体" w:cs="Times New Roman"/>
          <w:b w:val="0"/>
          <w:bCs/>
          <w:sz w:val="44"/>
          <w:szCs w:val="44"/>
          <w:highlight w:val="none"/>
          <w:shd w:val="clear" w:color="auto" w:fill="FFFFFF"/>
          <w:lang w:val="en-US" w:eastAsia="zh-CN"/>
        </w:rPr>
        <w:t>2023年</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0226F7E3">
      <w:pPr>
        <w:pStyle w:val="3"/>
        <w:bidi w:val="0"/>
        <w:rPr>
          <w:rFonts w:hint="default"/>
        </w:rPr>
      </w:pPr>
      <w:r>
        <w:rPr>
          <w:rFonts w:hint="eastAsia"/>
          <w:lang w:val="zh-CN"/>
        </w:rPr>
        <w:t>一、</w:t>
      </w:r>
      <w:r>
        <w:rPr>
          <w:rFonts w:hint="default"/>
          <w:lang w:val="zh-CN"/>
        </w:rPr>
        <w:t>部门（单位）基本情况</w:t>
      </w:r>
    </w:p>
    <w:p w14:paraId="15B39E7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cs="Times New Roman"/>
          <w:szCs w:val="32"/>
          <w:lang w:val="en-US" w:eastAsia="zh-CN"/>
        </w:rPr>
      </w:pPr>
      <w:r>
        <w:rPr>
          <w:rStyle w:val="28"/>
          <w:rFonts w:hint="eastAsia"/>
          <w:b/>
          <w:lang w:val="zh-CN"/>
        </w:rPr>
        <w:t>（一）</w:t>
      </w:r>
      <w:r>
        <w:rPr>
          <w:rStyle w:val="28"/>
          <w:rFonts w:hint="default"/>
          <w:b/>
          <w:lang w:val="zh-CN"/>
        </w:rPr>
        <w:t>机构组成。</w:t>
      </w:r>
      <w:r>
        <w:rPr>
          <w:rFonts w:hint="eastAsia" w:ascii="Times New Roman" w:hAnsi="Times New Roman" w:cs="Times New Roman"/>
          <w:szCs w:val="32"/>
          <w:lang w:val="en-US" w:eastAsia="zh-CN"/>
        </w:rPr>
        <w:t>泸县总工会是一级预算单位，属群团组织，下属二级单位1个（泸县群团工作中心）。泸县群团工作中心是全额拨款公益一类事业单位。</w:t>
      </w:r>
    </w:p>
    <w:p w14:paraId="5060461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cs="Times New Roman"/>
          <w:szCs w:val="32"/>
          <w:lang w:val="en-US" w:eastAsia="zh-CN"/>
        </w:rPr>
      </w:pPr>
      <w:r>
        <w:rPr>
          <w:rFonts w:hint="default" w:ascii="Times New Roman" w:hAnsi="Times New Roman" w:eastAsia="楷体_GB2312" w:cs="Times New Roman"/>
          <w:b/>
          <w:bCs/>
          <w:color w:val="000000"/>
          <w:kern w:val="0"/>
          <w:szCs w:val="32"/>
          <w:highlight w:val="none"/>
          <w:shd w:val="clear" w:color="auto" w:fill="FFFFFF"/>
          <w:lang w:val="zh-CN"/>
        </w:rPr>
        <w:t>（二）机构职能</w:t>
      </w:r>
      <w:r>
        <w:rPr>
          <w:rFonts w:hint="eastAsia" w:eastAsia="楷体_GB2312" w:cs="Times New Roman"/>
          <w:b/>
          <w:bCs/>
          <w:color w:val="000000"/>
          <w:kern w:val="0"/>
          <w:szCs w:val="32"/>
          <w:highlight w:val="none"/>
          <w:shd w:val="clear" w:color="auto" w:fill="FFFFFF"/>
          <w:lang w:val="zh-CN"/>
        </w:rPr>
        <w:t>。</w:t>
      </w:r>
      <w:r>
        <w:rPr>
          <w:rFonts w:hint="eastAsia" w:ascii="Times New Roman" w:hAnsi="Times New Roman" w:cs="Times New Roman"/>
          <w:szCs w:val="32"/>
          <w:lang w:val="en-US" w:eastAsia="zh-CN"/>
        </w:rPr>
        <w:t>单位内部设三个部室：办公室、维权保障部和组织宣教部。</w:t>
      </w:r>
    </w:p>
    <w:p w14:paraId="53F35A05">
      <w:pPr>
        <w:bidi w:val="0"/>
        <w:rPr>
          <w:rFonts w:hint="default"/>
          <w:lang w:val="zh-CN"/>
        </w:rPr>
      </w:pPr>
      <w:r>
        <w:rPr>
          <w:rFonts w:hint="default"/>
          <w:lang w:val="zh-CN"/>
        </w:rPr>
        <w:t>办公室职责：党组议事、目标绩效、秘书文印（综合性文稿草拟、收文发文、上传下达、机要保密、督查督办、会议会务、电话转接）、开放合作、民营经济、乡村振兴、劳动保护、国家安全、应急值守（门卫安保）、依法治理、基层治理、平安建设、禁毒、反诈防艾、卫生防疫、武装、双拥、环保节能、档案史志（含年鉴、执政实录）、机关工会、财务、后勤管理（含固定资产、基建维修、集中采购、公务用车、食堂管理）、统计、经审、四创一巩固等工作。</w:t>
      </w:r>
    </w:p>
    <w:p w14:paraId="0C2F4E71">
      <w:pPr>
        <w:bidi w:val="0"/>
        <w:rPr>
          <w:rFonts w:hint="default"/>
          <w:lang w:val="zh-CN"/>
        </w:rPr>
      </w:pPr>
      <w:r>
        <w:rPr>
          <w:rFonts w:hint="default"/>
          <w:lang w:val="zh-CN"/>
        </w:rPr>
        <w:t>维权保障部职责：</w:t>
      </w:r>
      <w:r>
        <w:rPr>
          <w:rFonts w:hint="eastAsia"/>
          <w:lang w:val="zh-CN"/>
        </w:rPr>
        <w:t>党的组织建设</w:t>
      </w:r>
      <w:r>
        <w:rPr>
          <w:rFonts w:hint="default"/>
          <w:lang w:val="zh-CN"/>
        </w:rPr>
        <w:t>、党风廉政建设（纪检监察、正风肃纪、效能建设、巡察、述责述廉述评）、机关党建、人大、政协、统战、群团（含工青妇科侨残等）、老龄（关工委）、权益维护、信访维稳、法律援助、劳动争议调处、民生保障、帮扶济困、医疗互助、工会“四送”、会员普惠、女工（含儿童）工作、关爱农民工、县总工会出纳等工作。挂女职工委员会牌子。</w:t>
      </w:r>
    </w:p>
    <w:p w14:paraId="76A554C2">
      <w:pPr>
        <w:bidi w:val="0"/>
        <w:rPr>
          <w:rFonts w:hint="eastAsia"/>
          <w:lang w:val="zh-CN"/>
        </w:rPr>
      </w:pPr>
      <w:r>
        <w:rPr>
          <w:rFonts w:hint="default"/>
          <w:lang w:val="zh-CN"/>
        </w:rPr>
        <w:t>组织宣教部职责：群团联席办、群团工作中心、党建思想政治建设（含意识形态、理论武装、中心组学习、学习强国）、宣传文化教育（含宣传信息报道、省总信息直报、网络安全、网站微信建管、报刊征订收发、职工书屋）、编制人事、精神文明建设（核心价值观、文明创建、志愿服务、网络舆情）、工会组织建设（建会入会、会员管理、干部培训、阵地建设、职工服务中心）、产业工人队伍建设、职工文体活动、劳动技能竞赛、劳模管理、厂务公开与民主管理、集体协商等工作。</w:t>
      </w:r>
    </w:p>
    <w:p w14:paraId="5F44D9D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zh-CN"/>
        </w:rPr>
        <w:t>三</w:t>
      </w:r>
      <w:r>
        <w:rPr>
          <w:rFonts w:hint="default" w:ascii="Times New Roman" w:hAnsi="Times New Roman" w:eastAsia="楷体_GB2312" w:cs="Times New Roman"/>
          <w:b/>
          <w:bCs/>
          <w:color w:val="000000"/>
          <w:kern w:val="0"/>
          <w:szCs w:val="32"/>
          <w:highlight w:val="none"/>
          <w:shd w:val="clear" w:color="auto" w:fill="FFFFFF"/>
          <w:lang w:val="zh-CN"/>
        </w:rPr>
        <w:t>）人员概况</w:t>
      </w:r>
      <w:r>
        <w:rPr>
          <w:rFonts w:hint="eastAsia" w:eastAsia="楷体_GB2312" w:cs="Times New Roman"/>
          <w:b/>
          <w:bCs/>
          <w:color w:val="000000"/>
          <w:kern w:val="0"/>
          <w:szCs w:val="32"/>
          <w:highlight w:val="none"/>
          <w:shd w:val="clear" w:color="auto" w:fill="FFFFFF"/>
          <w:lang w:val="zh-CN"/>
        </w:rPr>
        <w:t>。</w:t>
      </w:r>
      <w:r>
        <w:rPr>
          <w:rFonts w:hint="default" w:ascii="Times New Roman" w:hAnsi="Times New Roman" w:cs="Times New Roman"/>
          <w:szCs w:val="32"/>
        </w:rPr>
        <w:t>泸县总工会（含泸县群团工作中心）核定总编制24名，其中：行政编制6名，事业编制18名。实际在职人员总数25名，其中：行政人员7名，事业人员18名；退休人员6名</w:t>
      </w:r>
      <w:r>
        <w:rPr>
          <w:rFonts w:hint="eastAsia" w:cs="Times New Roman"/>
          <w:szCs w:val="32"/>
          <w:lang w:val="en-US" w:eastAsia="zh-CN"/>
        </w:rPr>
        <w:t>。</w:t>
      </w:r>
    </w:p>
    <w:p w14:paraId="224C9C1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黑体" w:cs="Times New Roman"/>
          <w:color w:val="000000"/>
          <w:kern w:val="0"/>
          <w:szCs w:val="32"/>
          <w:highlight w:val="none"/>
          <w:shd w:val="clear" w:color="auto" w:fill="FFFFFF"/>
        </w:rPr>
      </w:pPr>
      <w:r>
        <w:rPr>
          <w:rFonts w:hint="default" w:ascii="Times New Roman" w:hAnsi="Times New Roman" w:eastAsia="黑体" w:cs="Times New Roman"/>
          <w:color w:val="000000"/>
          <w:kern w:val="0"/>
          <w:szCs w:val="32"/>
          <w:highlight w:val="none"/>
          <w:shd w:val="clear" w:color="auto" w:fill="FFFFFF"/>
        </w:rPr>
        <w:t>二、</w:t>
      </w:r>
      <w:r>
        <w:rPr>
          <w:rFonts w:hint="default" w:ascii="Times New Roman" w:hAnsi="Times New Roman" w:eastAsia="黑体" w:cs="Times New Roman"/>
          <w:color w:val="000000"/>
          <w:kern w:val="0"/>
          <w:szCs w:val="32"/>
          <w:highlight w:val="none"/>
          <w:shd w:val="clear" w:color="auto" w:fill="FFFFFF"/>
          <w:lang w:eastAsia="zh-CN"/>
        </w:rPr>
        <w:t>部门</w:t>
      </w:r>
      <w:r>
        <w:rPr>
          <w:rFonts w:hint="default" w:ascii="Times New Roman" w:hAnsi="Times New Roman" w:eastAsia="黑体" w:cs="Times New Roman"/>
          <w:color w:val="000000"/>
          <w:kern w:val="0"/>
          <w:szCs w:val="32"/>
          <w:highlight w:val="none"/>
          <w:shd w:val="clear" w:color="auto" w:fill="FFFFFF"/>
        </w:rPr>
        <w:t>资金收支情况</w:t>
      </w:r>
    </w:p>
    <w:p w14:paraId="21B2D03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cs="Times New Roman"/>
          <w:szCs w:val="32"/>
          <w:lang w:val="en-US" w:eastAsia="zh-CN"/>
        </w:rPr>
      </w:pPr>
      <w:r>
        <w:rPr>
          <w:rFonts w:hint="default" w:ascii="Times New Roman" w:hAnsi="Times New Roman" w:eastAsia="楷体_GB2312" w:cs="Times New Roman"/>
          <w:b/>
          <w:bCs/>
          <w:color w:val="000000"/>
          <w:kern w:val="0"/>
          <w:szCs w:val="32"/>
          <w:highlight w:val="none"/>
          <w:shd w:val="clear" w:color="auto" w:fill="FFFFFF"/>
          <w:lang w:val="zh-CN"/>
        </w:rPr>
        <w:t>（一）</w:t>
      </w:r>
      <w:r>
        <w:rPr>
          <w:rFonts w:hint="eastAsia" w:eastAsia="楷体_GB2312" w:cs="Times New Roman"/>
          <w:b/>
          <w:bCs/>
          <w:color w:val="000000"/>
          <w:kern w:val="0"/>
          <w:szCs w:val="32"/>
          <w:highlight w:val="none"/>
          <w:shd w:val="clear" w:color="auto" w:fill="FFFFFF"/>
          <w:lang w:val="zh-CN"/>
        </w:rPr>
        <w:t>收入情况</w:t>
      </w: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cs="Times New Roman"/>
          <w:szCs w:val="32"/>
          <w:lang w:val="en-US" w:eastAsia="zh-CN"/>
        </w:rPr>
        <w:t>泸县总工会2023年全年预算收入总额为575.65万元，其中：年初预算455.67万元，调整预算收入为575.65万元；当年财政拨款收入575.65万元。</w:t>
      </w:r>
    </w:p>
    <w:p w14:paraId="5194483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cs="Times New Roman"/>
          <w:szCs w:val="32"/>
          <w:lang w:val="en-US" w:eastAsia="zh-CN"/>
        </w:rPr>
      </w:pP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zh-CN"/>
        </w:rPr>
        <w:t>二</w:t>
      </w: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zh-CN"/>
        </w:rPr>
        <w:t>支出情况</w:t>
      </w: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cs="Times New Roman"/>
          <w:szCs w:val="32"/>
          <w:lang w:val="en-US" w:eastAsia="zh-CN"/>
        </w:rPr>
        <w:t>泸县总工会</w:t>
      </w:r>
      <w:r>
        <w:rPr>
          <w:rFonts w:hint="eastAsia" w:ascii="Times New Roman" w:hAnsi="Times New Roman" w:cs="Times New Roman"/>
          <w:szCs w:val="32"/>
          <w:lang w:val="en-US" w:eastAsia="zh-CN"/>
        </w:rPr>
        <w:t>2023年一般公共预算支出决算数为</w:t>
      </w:r>
      <w:r>
        <w:rPr>
          <w:rFonts w:hint="eastAsia" w:cs="Times New Roman"/>
          <w:szCs w:val="32"/>
          <w:lang w:val="en-US" w:eastAsia="zh-CN"/>
        </w:rPr>
        <w:t>575.65</w:t>
      </w:r>
      <w:r>
        <w:rPr>
          <w:rFonts w:hint="eastAsia" w:ascii="Times New Roman" w:hAnsi="Times New Roman" w:cs="Times New Roman"/>
          <w:szCs w:val="32"/>
          <w:lang w:val="en-US" w:eastAsia="zh-CN"/>
        </w:rPr>
        <w:t>万元，完成预算100%。其中：</w:t>
      </w:r>
    </w:p>
    <w:p w14:paraId="7BBA6D5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1.一般公共服务（类）群众团体事务（款）行政运行（项）2012901：支出决算为186</w:t>
      </w:r>
      <w:r>
        <w:rPr>
          <w:rFonts w:hint="eastAsia" w:cs="Times New Roman"/>
          <w:szCs w:val="32"/>
          <w:lang w:val="en-US" w:eastAsia="zh-CN"/>
        </w:rPr>
        <w:t>.84</w:t>
      </w:r>
      <w:r>
        <w:rPr>
          <w:rFonts w:hint="eastAsia" w:ascii="Times New Roman" w:hAnsi="Times New Roman" w:cs="Times New Roman"/>
          <w:szCs w:val="32"/>
          <w:lang w:val="en-US" w:eastAsia="zh-CN"/>
        </w:rPr>
        <w:t>万元，完成预算100%，决算数等于预算数。</w:t>
      </w:r>
    </w:p>
    <w:p w14:paraId="33BE7C9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2.一般公共服务（类）群众团体事务（款）其他群众团体事务支出（项）2012999：支出决算为283</w:t>
      </w:r>
      <w:r>
        <w:rPr>
          <w:rFonts w:hint="eastAsia" w:cs="Times New Roman"/>
          <w:szCs w:val="32"/>
          <w:lang w:val="en-US" w:eastAsia="zh-CN"/>
        </w:rPr>
        <w:t>.79</w:t>
      </w:r>
      <w:r>
        <w:rPr>
          <w:rFonts w:hint="eastAsia" w:ascii="Times New Roman" w:hAnsi="Times New Roman" w:cs="Times New Roman"/>
          <w:szCs w:val="32"/>
          <w:lang w:val="en-US" w:eastAsia="zh-CN"/>
        </w:rPr>
        <w:t>万元，完成预算100%，决算数等于预算数。</w:t>
      </w:r>
    </w:p>
    <w:p w14:paraId="6C6C8FA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3.社会保障和就业（类）行政事业单位离退休（款）机关事业单位基本养老保险缴费支出（项）2080505：支出决算为46</w:t>
      </w:r>
      <w:r>
        <w:rPr>
          <w:rFonts w:hint="eastAsia" w:cs="Times New Roman"/>
          <w:szCs w:val="32"/>
          <w:lang w:val="en-US" w:eastAsia="zh-CN"/>
        </w:rPr>
        <w:t>.</w:t>
      </w:r>
      <w:r>
        <w:rPr>
          <w:rFonts w:hint="eastAsia" w:ascii="Times New Roman" w:hAnsi="Times New Roman" w:cs="Times New Roman"/>
          <w:szCs w:val="32"/>
          <w:lang w:val="en-US" w:eastAsia="zh-CN"/>
        </w:rPr>
        <w:t>19万元，机关事业单位职业年金缴费支出（项）20805</w:t>
      </w:r>
      <w:r>
        <w:rPr>
          <w:rFonts w:hint="eastAsia" w:cs="Times New Roman"/>
          <w:szCs w:val="32"/>
          <w:lang w:val="en-US" w:eastAsia="zh-CN"/>
        </w:rPr>
        <w:t>06</w:t>
      </w:r>
      <w:r>
        <w:rPr>
          <w:rFonts w:hint="eastAsia" w:ascii="Times New Roman" w:hAnsi="Times New Roman" w:cs="Times New Roman"/>
          <w:szCs w:val="32"/>
          <w:lang w:val="en-US" w:eastAsia="zh-CN"/>
        </w:rPr>
        <w:t>：支出决算为6</w:t>
      </w:r>
      <w:r>
        <w:rPr>
          <w:rFonts w:hint="eastAsia" w:cs="Times New Roman"/>
          <w:szCs w:val="32"/>
          <w:lang w:val="en-US" w:eastAsia="zh-CN"/>
        </w:rPr>
        <w:t>.</w:t>
      </w:r>
      <w:r>
        <w:rPr>
          <w:rFonts w:hint="eastAsia" w:ascii="Times New Roman" w:hAnsi="Times New Roman" w:cs="Times New Roman"/>
          <w:szCs w:val="32"/>
          <w:lang w:val="en-US" w:eastAsia="zh-CN"/>
        </w:rPr>
        <w:t>1</w:t>
      </w:r>
      <w:r>
        <w:rPr>
          <w:rFonts w:hint="eastAsia" w:cs="Times New Roman"/>
          <w:szCs w:val="32"/>
          <w:lang w:val="en-US" w:eastAsia="zh-CN"/>
        </w:rPr>
        <w:t>2</w:t>
      </w:r>
      <w:r>
        <w:rPr>
          <w:rFonts w:hint="eastAsia" w:ascii="Times New Roman" w:hAnsi="Times New Roman" w:cs="Times New Roman"/>
          <w:szCs w:val="32"/>
          <w:lang w:val="en-US" w:eastAsia="zh-CN"/>
        </w:rPr>
        <w:t>万元；死亡抚恤（款）2080801：支出决算为</w:t>
      </w:r>
      <w:r>
        <w:rPr>
          <w:rFonts w:hint="eastAsia" w:cs="Times New Roman"/>
          <w:szCs w:val="32"/>
          <w:lang w:val="en-US" w:eastAsia="zh-CN"/>
        </w:rPr>
        <w:t>0.78</w:t>
      </w:r>
      <w:r>
        <w:rPr>
          <w:rFonts w:hint="eastAsia" w:ascii="Times New Roman" w:hAnsi="Times New Roman" w:cs="Times New Roman"/>
          <w:szCs w:val="32"/>
          <w:lang w:val="en-US" w:eastAsia="zh-CN"/>
        </w:rPr>
        <w:t>万元，完成预算100%，决算数等于预算数。</w:t>
      </w:r>
    </w:p>
    <w:p w14:paraId="2E90EE6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4.卫生健康（类）行政事业单位医疗（款）行政单位医疗（项）2101101：支出决算为4</w:t>
      </w:r>
      <w:r>
        <w:rPr>
          <w:rFonts w:hint="eastAsia" w:cs="Times New Roman"/>
          <w:szCs w:val="32"/>
          <w:lang w:val="en-US" w:eastAsia="zh-CN"/>
        </w:rPr>
        <w:t>.28</w:t>
      </w:r>
      <w:r>
        <w:rPr>
          <w:rFonts w:hint="eastAsia" w:ascii="Times New Roman" w:hAnsi="Times New Roman" w:cs="Times New Roman"/>
          <w:szCs w:val="32"/>
          <w:lang w:val="en-US" w:eastAsia="zh-CN"/>
        </w:rPr>
        <w:t>万元，事业单位医疗（项）2101102：支出决算为9</w:t>
      </w:r>
      <w:r>
        <w:rPr>
          <w:rFonts w:hint="eastAsia" w:cs="Times New Roman"/>
          <w:szCs w:val="32"/>
          <w:lang w:val="en-US" w:eastAsia="zh-CN"/>
        </w:rPr>
        <w:t>.3</w:t>
      </w:r>
      <w:r>
        <w:rPr>
          <w:rFonts w:hint="eastAsia" w:ascii="Times New Roman" w:hAnsi="Times New Roman" w:cs="Times New Roman"/>
          <w:szCs w:val="32"/>
          <w:lang w:val="en-US" w:eastAsia="zh-CN"/>
        </w:rPr>
        <w:t>万元，公务员医疗补助2101103：支出决算为3</w:t>
      </w:r>
      <w:r>
        <w:rPr>
          <w:rFonts w:hint="eastAsia" w:cs="Times New Roman"/>
          <w:szCs w:val="32"/>
          <w:lang w:val="en-US" w:eastAsia="zh-CN"/>
        </w:rPr>
        <w:t>.72</w:t>
      </w:r>
      <w:r>
        <w:rPr>
          <w:rFonts w:hint="eastAsia" w:ascii="Times New Roman" w:hAnsi="Times New Roman" w:cs="Times New Roman"/>
          <w:szCs w:val="32"/>
          <w:lang w:val="en-US" w:eastAsia="zh-CN"/>
        </w:rPr>
        <w:t>万元，完成预算100%，决算数等于预算数。</w:t>
      </w:r>
    </w:p>
    <w:p w14:paraId="20760B5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eastAsia" w:ascii="Times New Roman" w:hAnsi="Times New Roman" w:cs="Times New Roman"/>
          <w:szCs w:val="32"/>
          <w:lang w:val="en-US" w:eastAsia="zh-CN"/>
        </w:rPr>
        <w:t>5.住房保障支出（类）住房改革支出（款）住房公积金（项）2210201：支出决算为34</w:t>
      </w:r>
      <w:r>
        <w:rPr>
          <w:rFonts w:hint="eastAsia" w:cs="Times New Roman"/>
          <w:szCs w:val="32"/>
          <w:lang w:val="en-US" w:eastAsia="zh-CN"/>
        </w:rPr>
        <w:t>.64</w:t>
      </w:r>
      <w:r>
        <w:rPr>
          <w:rFonts w:hint="eastAsia" w:ascii="Times New Roman" w:hAnsi="Times New Roman" w:cs="Times New Roman"/>
          <w:szCs w:val="32"/>
          <w:lang w:val="en-US" w:eastAsia="zh-CN"/>
        </w:rPr>
        <w:t>万元，完成预算100%，决算数等于预算数。</w:t>
      </w:r>
    </w:p>
    <w:p w14:paraId="51694A5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zh-CN"/>
        </w:rPr>
        <w:t>三</w:t>
      </w:r>
      <w:r>
        <w:rPr>
          <w:rFonts w:hint="default" w:ascii="Times New Roman" w:hAnsi="Times New Roman" w:eastAsia="楷体_GB2312" w:cs="Times New Roman"/>
          <w:b/>
          <w:bCs/>
          <w:color w:val="000000"/>
          <w:kern w:val="0"/>
          <w:szCs w:val="32"/>
          <w:highlight w:val="none"/>
          <w:shd w:val="clear" w:color="auto" w:fill="FFFFFF"/>
          <w:lang w:val="zh-CN"/>
        </w:rPr>
        <w:t>）</w:t>
      </w:r>
      <w:r>
        <w:rPr>
          <w:rFonts w:hint="default" w:ascii="Times New Roman" w:hAnsi="Times New Roman" w:eastAsia="楷体_GB2312" w:cs="Times New Roman"/>
          <w:b/>
          <w:szCs w:val="32"/>
        </w:rPr>
        <w:t>结余分配和结转结余情况</w:t>
      </w:r>
      <w:r>
        <w:rPr>
          <w:rFonts w:hint="eastAsia" w:ascii="Times New Roman" w:hAnsi="Times New Roman" w:eastAsia="楷体_GB2312" w:cs="Times New Roman"/>
          <w:b/>
          <w:szCs w:val="32"/>
          <w:lang w:eastAsia="zh-CN"/>
        </w:rPr>
        <w:t>。</w:t>
      </w:r>
      <w:r>
        <w:rPr>
          <w:rFonts w:hint="eastAsia" w:cs="Times New Roman"/>
          <w:szCs w:val="32"/>
          <w:lang w:val="en-US" w:eastAsia="zh-CN"/>
        </w:rPr>
        <w:t>泸县总工会2023年</w:t>
      </w:r>
      <w:r>
        <w:rPr>
          <w:rFonts w:hint="eastAsia" w:ascii="Times New Roman" w:hAnsi="Times New Roman" w:cs="Times New Roman"/>
          <w:szCs w:val="32"/>
          <w:lang w:val="en-US" w:eastAsia="zh-CN"/>
        </w:rPr>
        <w:t>决算报表</w:t>
      </w:r>
      <w:r>
        <w:rPr>
          <w:rFonts w:hint="eastAsia" w:ascii="仿宋_GB2312" w:hAnsi="仿宋_GB2312" w:eastAsia="仿宋_GB2312" w:cs="仿宋_GB2312"/>
          <w:b/>
          <w:bCs/>
          <w:color w:val="000000"/>
          <w:kern w:val="0"/>
          <w:szCs w:val="32"/>
          <w:highlight w:val="none"/>
          <w:shd w:val="clear" w:color="auto" w:fill="FFFFFF"/>
          <w:lang w:val="en-US" w:eastAsia="zh-CN"/>
        </w:rPr>
        <w:t>结转结余均为0元。</w:t>
      </w:r>
    </w:p>
    <w:p w14:paraId="75D5897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黑体" w:cs="Times New Roman"/>
          <w:color w:val="000000" w:themeColor="text1"/>
          <w:kern w:val="0"/>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Cs w:val="32"/>
          <w:highlight w:val="none"/>
          <w:shd w:val="clear" w:color="auto" w:fill="FFFFFF"/>
        </w:rPr>
        <w:t>三、</w:t>
      </w:r>
      <w:r>
        <w:rPr>
          <w:rFonts w:hint="default" w:ascii="Times New Roman" w:hAnsi="Times New Roman" w:eastAsia="黑体" w:cs="Times New Roman"/>
          <w:color w:val="000000"/>
          <w:kern w:val="0"/>
          <w:szCs w:val="32"/>
          <w:highlight w:val="none"/>
          <w:u w:val="none"/>
          <w:shd w:val="clear" w:color="auto" w:fill="FFFFFF"/>
        </w:rPr>
        <w:t>部门</w:t>
      </w:r>
      <w:r>
        <w:rPr>
          <w:rFonts w:hint="default" w:ascii="Times New Roman" w:hAnsi="Times New Roman" w:eastAsia="黑体" w:cs="Times New Roman"/>
          <w:color w:val="000000"/>
          <w:kern w:val="0"/>
          <w:szCs w:val="32"/>
          <w:highlight w:val="none"/>
          <w:u w:val="none"/>
          <w:shd w:val="clear" w:color="auto" w:fill="FFFFFF"/>
          <w:lang w:eastAsia="zh-CN"/>
        </w:rPr>
        <w:t>预算</w:t>
      </w:r>
      <w:r>
        <w:rPr>
          <w:rFonts w:hint="default" w:ascii="Times New Roman" w:hAnsi="Times New Roman" w:eastAsia="黑体" w:cs="Times New Roman"/>
          <w:color w:val="000000"/>
          <w:kern w:val="0"/>
          <w:szCs w:val="32"/>
          <w:highlight w:val="none"/>
          <w:u w:val="none"/>
          <w:shd w:val="clear" w:color="auto" w:fill="FFFFFF"/>
        </w:rPr>
        <w:t>绩效</w:t>
      </w:r>
      <w:r>
        <w:rPr>
          <w:rFonts w:hint="default" w:ascii="Times New Roman" w:hAnsi="Times New Roman" w:eastAsia="黑体" w:cs="Times New Roman"/>
          <w:color w:val="000000"/>
          <w:kern w:val="0"/>
          <w:szCs w:val="32"/>
          <w:highlight w:val="none"/>
          <w:u w:val="none"/>
          <w:shd w:val="clear" w:color="auto" w:fill="FFFFFF"/>
          <w:lang w:eastAsia="zh-CN"/>
        </w:rPr>
        <w:t>分析</w:t>
      </w:r>
    </w:p>
    <w:p w14:paraId="3033B6A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（一）</w:t>
      </w:r>
      <w:r>
        <w:rPr>
          <w:rFonts w:hint="eastAsia" w:eastAsia="楷体_GB2312" w:cs="Times New Roman"/>
          <w:b/>
          <w:bCs/>
          <w:color w:val="000000"/>
          <w:kern w:val="0"/>
          <w:szCs w:val="32"/>
          <w:highlight w:val="none"/>
          <w:shd w:val="clear" w:color="auto" w:fill="FFFFFF"/>
          <w:lang w:val="zh-CN"/>
        </w:rPr>
        <w:t>部门预算</w:t>
      </w:r>
      <w:r>
        <w:rPr>
          <w:rFonts w:hint="default" w:ascii="Times New Roman" w:hAnsi="Times New Roman" w:eastAsia="楷体_GB2312" w:cs="Times New Roman"/>
          <w:b/>
          <w:bCs/>
          <w:color w:val="000000"/>
          <w:kern w:val="0"/>
          <w:szCs w:val="32"/>
          <w:highlight w:val="none"/>
          <w:shd w:val="clear" w:color="auto" w:fill="FFFFFF"/>
          <w:lang w:val="zh-CN"/>
        </w:rPr>
        <w:t>总体绩效分析。</w:t>
      </w:r>
    </w:p>
    <w:p w14:paraId="2BAC65B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cs="Times New Roman"/>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1.</w:t>
      </w:r>
      <w:r>
        <w:rPr>
          <w:rFonts w:hint="eastAsia" w:ascii="楷体_GB2312" w:hAnsi="楷体_GB2312" w:eastAsia="楷体_GB2312" w:cs="楷体_GB2312"/>
          <w:color w:val="000000"/>
          <w:kern w:val="0"/>
          <w:szCs w:val="32"/>
          <w:highlight w:val="none"/>
          <w:shd w:val="clear" w:color="auto" w:fill="FFFFFF"/>
          <w:lang w:val="zh-CN"/>
        </w:rPr>
        <w:t>履职效能。</w:t>
      </w:r>
      <w:r>
        <w:rPr>
          <w:rFonts w:hint="eastAsia" w:ascii="Times New Roman" w:hAnsi="Times New Roman" w:cs="Times New Roman"/>
          <w:color w:val="000000"/>
          <w:kern w:val="0"/>
          <w:szCs w:val="32"/>
          <w:highlight w:val="none"/>
          <w:shd w:val="clear" w:color="auto" w:fill="FFFFFF"/>
          <w:lang w:val="zh-CN"/>
        </w:rPr>
        <w:t>开展专题法律讲堂5场次，发放宣传资料5000余份。为职工（农民工）解答法律难题，提供法律咨询63次，解决法律问题33次。与职工法律援助中心共同为农民工法律援助案件297件，涉案金额1490万余元。与人社局等一起处理农民工工资拖欠135件，为2392人挽回经济损失2723.12万元。保障开展工作需要公务租车，租车次数250次。</w:t>
      </w:r>
      <w:r>
        <w:rPr>
          <w:rFonts w:hint="eastAsia" w:ascii="仿宋_GB2312" w:hAnsi="仿宋_GB2312" w:eastAsia="仿宋_GB2312" w:cs="仿宋_GB2312"/>
          <w:color w:val="000000"/>
          <w:kern w:val="0"/>
          <w:szCs w:val="32"/>
          <w:highlight w:val="none"/>
          <w:shd w:val="clear" w:color="auto" w:fill="FFFFFF"/>
          <w:lang w:val="zh-CN"/>
        </w:rPr>
        <w:t>保障上争外引工作正常开展，完成向上争取资金</w:t>
      </w:r>
      <w:r>
        <w:rPr>
          <w:rFonts w:hint="default" w:ascii="Times New Roman" w:hAnsi="Times New Roman" w:eastAsia="仿宋_GB2312" w:cs="Times New Roman"/>
          <w:color w:val="000000"/>
          <w:kern w:val="0"/>
          <w:szCs w:val="32"/>
          <w:highlight w:val="none"/>
          <w:shd w:val="clear" w:color="auto" w:fill="FFFFFF"/>
          <w:lang w:val="en-US" w:eastAsia="zh-CN"/>
        </w:rPr>
        <w:t>317.71</w:t>
      </w:r>
      <w:r>
        <w:rPr>
          <w:rFonts w:hint="eastAsia" w:ascii="仿宋_GB2312" w:hAnsi="仿宋_GB2312" w:eastAsia="仿宋_GB2312" w:cs="仿宋_GB2312"/>
          <w:color w:val="000000"/>
          <w:kern w:val="0"/>
          <w:szCs w:val="32"/>
          <w:highlight w:val="none"/>
          <w:shd w:val="clear" w:color="auto" w:fill="FFFFFF"/>
          <w:lang w:val="zh-CN"/>
        </w:rPr>
        <w:t>万元。保障部门本级及下属事业单位人员类、公用经费等运转类支出。</w:t>
      </w:r>
    </w:p>
    <w:p w14:paraId="4A6D718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color w:val="000000"/>
          <w:kern w:val="0"/>
          <w:szCs w:val="32"/>
          <w:highlight w:val="none"/>
          <w:shd w:val="clear" w:color="auto" w:fill="FFFFFF"/>
          <w:lang w:val="zh-CN"/>
        </w:rPr>
      </w:pPr>
      <w:r>
        <w:rPr>
          <w:rFonts w:hint="default" w:ascii="Times New Roman" w:hAnsi="Times New Roman" w:eastAsia="楷体_GB2312" w:cs="Times New Roman"/>
          <w:color w:val="000000"/>
          <w:kern w:val="0"/>
          <w:szCs w:val="32"/>
          <w:highlight w:val="none"/>
          <w:shd w:val="clear" w:color="auto" w:fill="FFFFFF"/>
          <w:lang w:val="en-US" w:eastAsia="zh-CN"/>
        </w:rPr>
        <w:t>2.</w:t>
      </w:r>
      <w:r>
        <w:rPr>
          <w:rFonts w:hint="default" w:ascii="Times New Roman" w:hAnsi="Times New Roman" w:eastAsia="楷体_GB2312" w:cs="Times New Roman"/>
          <w:color w:val="000000"/>
          <w:kern w:val="0"/>
          <w:szCs w:val="32"/>
          <w:highlight w:val="none"/>
          <w:shd w:val="clear" w:color="auto" w:fill="FFFFFF"/>
          <w:lang w:val="zh-CN"/>
        </w:rPr>
        <w:t>预算管理。</w:t>
      </w:r>
      <w:r>
        <w:rPr>
          <w:rFonts w:hint="default" w:ascii="Times New Roman" w:hAnsi="Times New Roman" w:cs="Times New Roman"/>
          <w:color w:val="000000"/>
          <w:kern w:val="0"/>
          <w:szCs w:val="32"/>
          <w:highlight w:val="none"/>
          <w:shd w:val="clear" w:color="auto" w:fill="FFFFFF"/>
          <w:lang w:val="zh-CN"/>
        </w:rPr>
        <w:t>年初预算455.67万元，决算数575.65万元，偏离度为26.33%，因年中增加项目预算</w:t>
      </w:r>
      <w:r>
        <w:rPr>
          <w:rFonts w:hint="default" w:ascii="Times New Roman" w:hAnsi="Times New Roman" w:cs="Times New Roman"/>
          <w:color w:val="000000"/>
          <w:kern w:val="0"/>
          <w:szCs w:val="32"/>
          <w:highlight w:val="none"/>
          <w:shd w:val="clear" w:color="auto" w:fill="FFFFFF"/>
          <w:lang w:val="en-US" w:eastAsia="zh-CN"/>
        </w:rPr>
        <w:t>50.03万元，增人增资调整追加预算资金69.68万元</w:t>
      </w:r>
      <w:r>
        <w:rPr>
          <w:rFonts w:hint="default" w:ascii="Times New Roman" w:hAnsi="Times New Roman" w:cs="Times New Roman"/>
          <w:color w:val="000000"/>
          <w:kern w:val="0"/>
          <w:szCs w:val="32"/>
          <w:highlight w:val="none"/>
          <w:shd w:val="clear" w:color="auto" w:fill="FFFFFF"/>
          <w:lang w:val="zh-CN"/>
        </w:rPr>
        <w:t>。</w:t>
      </w:r>
    </w:p>
    <w:p w14:paraId="70F0BC8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zh-CN"/>
        </w:rPr>
      </w:pPr>
      <w:r>
        <w:rPr>
          <w:rFonts w:hint="default" w:ascii="Times New Roman" w:hAnsi="Times New Roman" w:eastAsia="楷体_GB2312" w:cs="Times New Roman"/>
          <w:color w:val="000000"/>
          <w:kern w:val="0"/>
          <w:szCs w:val="32"/>
          <w:highlight w:val="none"/>
          <w:shd w:val="clear" w:color="auto" w:fill="FFFFFF"/>
          <w:lang w:val="en-US" w:eastAsia="zh-CN"/>
        </w:rPr>
        <w:t>3.</w:t>
      </w:r>
      <w:r>
        <w:rPr>
          <w:rFonts w:hint="default" w:ascii="Times New Roman" w:hAnsi="Times New Roman" w:eastAsia="楷体_GB2312" w:cs="Times New Roman"/>
          <w:color w:val="000000"/>
          <w:kern w:val="0"/>
          <w:szCs w:val="32"/>
          <w:highlight w:val="none"/>
          <w:shd w:val="clear" w:color="auto" w:fill="FFFFFF"/>
          <w:lang w:val="zh-CN"/>
        </w:rPr>
        <w:t>财</w:t>
      </w:r>
      <w:r>
        <w:rPr>
          <w:rFonts w:hint="default" w:ascii="楷体_GB2312" w:hAnsi="楷体_GB2312" w:eastAsia="楷体_GB2312" w:cs="楷体_GB2312"/>
          <w:color w:val="000000"/>
          <w:kern w:val="0"/>
          <w:szCs w:val="32"/>
          <w:highlight w:val="none"/>
          <w:shd w:val="clear" w:color="auto" w:fill="FFFFFF"/>
          <w:lang w:val="zh-CN"/>
        </w:rPr>
        <w:t>务管理</w:t>
      </w:r>
      <w:r>
        <w:rPr>
          <w:rFonts w:hint="eastAsia" w:ascii="楷体_GB2312" w:hAnsi="楷体_GB2312" w:eastAsia="楷体_GB2312" w:cs="楷体_GB2312"/>
          <w:color w:val="000000"/>
          <w:kern w:val="0"/>
          <w:szCs w:val="32"/>
          <w:highlight w:val="none"/>
          <w:shd w:val="clear" w:color="auto" w:fill="FFFFFF"/>
          <w:lang w:val="zh-CN"/>
        </w:rPr>
        <w:t>。</w:t>
      </w:r>
      <w:r>
        <w:rPr>
          <w:rFonts w:hint="default" w:ascii="Times New Roman" w:hAnsi="Times New Roman" w:eastAsia="仿宋_GB2312" w:cs="Times New Roman"/>
          <w:color w:val="000000"/>
          <w:kern w:val="0"/>
          <w:szCs w:val="32"/>
          <w:highlight w:val="none"/>
          <w:shd w:val="clear" w:color="auto" w:fill="FFFFFF"/>
          <w:lang w:val="zh-CN"/>
        </w:rPr>
        <w:t>已建立单位的会计管理制度、内控管理制度、采购管理制度、合同管理制度等，设置会计岗位</w:t>
      </w:r>
      <w:r>
        <w:rPr>
          <w:rFonts w:hint="default" w:ascii="Times New Roman" w:hAnsi="Times New Roman" w:eastAsia="仿宋_GB2312" w:cs="Times New Roman"/>
          <w:color w:val="000000"/>
          <w:kern w:val="0"/>
          <w:szCs w:val="32"/>
          <w:highlight w:val="none"/>
          <w:shd w:val="clear" w:color="auto" w:fill="FFFFFF"/>
          <w:lang w:val="en-US" w:eastAsia="zh-CN"/>
        </w:rPr>
        <w:t>1个，出纳岗位1个，按照采购制度完成采购程序</w:t>
      </w:r>
      <w:r>
        <w:rPr>
          <w:rFonts w:hint="default" w:ascii="Times New Roman" w:hAnsi="Times New Roman" w:eastAsia="仿宋_GB2312" w:cs="Times New Roman"/>
          <w:color w:val="000000"/>
          <w:kern w:val="0"/>
          <w:szCs w:val="32"/>
          <w:highlight w:val="none"/>
          <w:shd w:val="clear" w:color="auto" w:fill="FFFFFF"/>
          <w:lang w:val="zh-CN"/>
        </w:rPr>
        <w:t>。</w:t>
      </w:r>
    </w:p>
    <w:p w14:paraId="43FAEBE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4.</w:t>
      </w:r>
      <w:r>
        <w:rPr>
          <w:rFonts w:hint="default" w:ascii="楷体_GB2312" w:hAnsi="楷体_GB2312" w:eastAsia="楷体_GB2312" w:cs="楷体_GB2312"/>
          <w:color w:val="000000"/>
          <w:kern w:val="0"/>
          <w:szCs w:val="32"/>
          <w:highlight w:val="none"/>
          <w:shd w:val="clear" w:color="auto" w:fill="FFFFFF"/>
          <w:lang w:val="zh-CN"/>
        </w:rPr>
        <w:t>资产管理</w:t>
      </w:r>
      <w:r>
        <w:rPr>
          <w:rFonts w:hint="eastAsia" w:ascii="楷体_GB2312" w:hAnsi="楷体_GB2312" w:eastAsia="楷体_GB2312" w:cs="楷体_GB2312"/>
          <w:color w:val="000000"/>
          <w:kern w:val="0"/>
          <w:szCs w:val="32"/>
          <w:highlight w:val="none"/>
          <w:shd w:val="clear" w:color="auto" w:fill="FFFFFF"/>
          <w:lang w:val="zh-CN"/>
        </w:rPr>
        <w:t>。</w:t>
      </w:r>
      <w:r>
        <w:rPr>
          <w:rFonts w:hint="default" w:ascii="Times New Roman" w:hAnsi="Times New Roman" w:eastAsia="仿宋_GB2312" w:cs="Times New Roman"/>
          <w:color w:val="000000"/>
          <w:kern w:val="0"/>
          <w:szCs w:val="32"/>
          <w:highlight w:val="none"/>
          <w:shd w:val="clear" w:color="auto" w:fill="FFFFFF"/>
          <w:lang w:val="en-US" w:eastAsia="zh-CN"/>
        </w:rPr>
        <w:t>2023年度泸县总工会人均资产变化率为</w:t>
      </w:r>
      <w:r>
        <w:rPr>
          <w:rFonts w:hint="eastAsia" w:ascii="Times New Roman" w:hAnsi="Times New Roman" w:cs="Times New Roman"/>
          <w:color w:val="000000"/>
          <w:kern w:val="0"/>
          <w:szCs w:val="32"/>
          <w:highlight w:val="none"/>
          <w:shd w:val="clear" w:color="auto" w:fill="FFFFFF"/>
          <w:lang w:val="en-US" w:eastAsia="zh-CN"/>
        </w:rPr>
        <w:t>0</w:t>
      </w:r>
      <w:r>
        <w:rPr>
          <w:rFonts w:hint="default" w:ascii="Times New Roman" w:hAnsi="Times New Roman" w:eastAsia="仿宋_GB2312" w:cs="Times New Roman"/>
          <w:color w:val="000000"/>
          <w:kern w:val="0"/>
          <w:szCs w:val="32"/>
          <w:highlight w:val="none"/>
          <w:shd w:val="clear" w:color="auto" w:fill="FFFFFF"/>
          <w:lang w:val="en-US" w:eastAsia="zh-CN"/>
        </w:rPr>
        <w:t>，全部国有资产均为在用状态，经盘点未发现账外国有资产、闲置</w:t>
      </w:r>
      <w:r>
        <w:rPr>
          <w:rFonts w:hint="eastAsia" w:ascii="Times New Roman" w:hAnsi="Times New Roman" w:cs="Times New Roman"/>
          <w:color w:val="000000"/>
          <w:kern w:val="0"/>
          <w:szCs w:val="32"/>
          <w:highlight w:val="none"/>
          <w:shd w:val="clear" w:color="auto" w:fill="FFFFFF"/>
          <w:lang w:val="en-US" w:eastAsia="zh-CN"/>
        </w:rPr>
        <w:t>国有</w:t>
      </w:r>
      <w:r>
        <w:rPr>
          <w:rFonts w:hint="default" w:ascii="Times New Roman" w:hAnsi="Times New Roman" w:eastAsia="仿宋_GB2312" w:cs="Times New Roman"/>
          <w:color w:val="000000"/>
          <w:kern w:val="0"/>
          <w:szCs w:val="32"/>
          <w:highlight w:val="none"/>
          <w:shd w:val="clear" w:color="auto" w:fill="FFFFFF"/>
          <w:lang w:val="en-US" w:eastAsia="zh-CN"/>
        </w:rPr>
        <w:t>资产等问题，资产管理账实相符</w:t>
      </w:r>
      <w:r>
        <w:rPr>
          <w:rFonts w:hint="eastAsia" w:cs="Times New Roman"/>
          <w:color w:val="000000"/>
          <w:kern w:val="0"/>
          <w:szCs w:val="32"/>
          <w:highlight w:val="none"/>
          <w:shd w:val="clear" w:color="auto" w:fill="FFFFFF"/>
          <w:lang w:val="zh-CN"/>
        </w:rPr>
        <w:t>。</w:t>
      </w:r>
    </w:p>
    <w:p w14:paraId="60BB58C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5.</w:t>
      </w:r>
      <w:r>
        <w:rPr>
          <w:rFonts w:hint="default" w:ascii="楷体_GB2312" w:hAnsi="楷体_GB2312" w:eastAsia="楷体_GB2312" w:cs="楷体_GB2312"/>
          <w:color w:val="000000"/>
          <w:kern w:val="0"/>
          <w:szCs w:val="32"/>
          <w:highlight w:val="none"/>
          <w:shd w:val="clear" w:color="auto" w:fill="FFFFFF"/>
          <w:lang w:val="zh-CN"/>
        </w:rPr>
        <w:t>采购管理</w:t>
      </w:r>
      <w:r>
        <w:rPr>
          <w:rFonts w:hint="eastAsia" w:ascii="楷体_GB2312" w:hAnsi="楷体_GB2312" w:eastAsia="楷体_GB2312" w:cs="楷体_GB2312"/>
          <w:color w:val="000000"/>
          <w:kern w:val="0"/>
          <w:szCs w:val="32"/>
          <w:highlight w:val="none"/>
          <w:shd w:val="clear" w:color="auto" w:fill="FFFFFF"/>
          <w:lang w:val="zh-CN"/>
        </w:rPr>
        <w:t>。</w:t>
      </w:r>
      <w:r>
        <w:rPr>
          <w:rFonts w:hint="eastAsia" w:ascii="仿宋_GB2312" w:hAnsi="仿宋_GB2312" w:eastAsia="仿宋_GB2312" w:cs="仿宋_GB2312"/>
          <w:color w:val="000000"/>
          <w:kern w:val="0"/>
          <w:szCs w:val="32"/>
          <w:highlight w:val="none"/>
          <w:shd w:val="clear" w:color="auto" w:fill="FFFFFF"/>
          <w:lang w:val="zh-CN"/>
        </w:rPr>
        <w:t>严格按照政府采购程序进行采购，增加工会经费返还频次，落实小微企业工会经费全额返还政策以及小额缴费工会组织全额返还工会经费制度，积极支持中小企业发展。</w:t>
      </w:r>
    </w:p>
    <w:p w14:paraId="4A97451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Cs w:val="32"/>
          <w:highlight w:val="none"/>
          <w:shd w:val="clear" w:color="auto" w:fill="FFFFFF"/>
          <w:lang w:val="zh-CN"/>
        </w:rPr>
        <w:t>（二）部门预算项目绩效分析。</w:t>
      </w:r>
    </w:p>
    <w:p w14:paraId="0AF4626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cs="Times New Roman"/>
          <w:color w:val="000000"/>
          <w:kern w:val="0"/>
          <w:szCs w:val="32"/>
          <w:highlight w:val="none"/>
          <w:shd w:val="clear" w:color="auto" w:fill="FFFFFF"/>
          <w:lang w:val="zh-CN" w:eastAsia="zh-CN"/>
        </w:rPr>
      </w:pPr>
      <w:r>
        <w:rPr>
          <w:rFonts w:hint="default" w:cs="Times New Roman"/>
          <w:color w:val="000000"/>
          <w:kern w:val="0"/>
          <w:szCs w:val="32"/>
          <w:highlight w:val="none"/>
          <w:shd w:val="clear" w:color="auto" w:fill="FFFFFF"/>
          <w:lang w:val="en-US" w:eastAsia="zh-CN"/>
        </w:rPr>
        <w:t>常年项目绩效分析。</w:t>
      </w:r>
      <w:r>
        <w:rPr>
          <w:rFonts w:hint="default" w:cs="Times New Roman"/>
          <w:color w:val="000000"/>
          <w:kern w:val="0"/>
          <w:szCs w:val="32"/>
          <w:highlight w:val="none"/>
          <w:shd w:val="clear" w:color="auto" w:fill="FFFFFF"/>
          <w:lang w:val="zh-CN" w:eastAsia="zh-CN"/>
        </w:rPr>
        <w:t>该类项目总数</w:t>
      </w:r>
      <w:r>
        <w:rPr>
          <w:rFonts w:hint="eastAsia" w:cs="Times New Roman"/>
          <w:color w:val="000000"/>
          <w:kern w:val="0"/>
          <w:szCs w:val="32"/>
          <w:highlight w:val="none"/>
          <w:shd w:val="clear" w:color="auto" w:fill="FFFFFF"/>
          <w:lang w:val="en-US" w:eastAsia="zh-CN"/>
        </w:rPr>
        <w:t>9</w:t>
      </w:r>
      <w:r>
        <w:rPr>
          <w:rFonts w:hint="default" w:cs="Times New Roman"/>
          <w:color w:val="000000"/>
          <w:kern w:val="0"/>
          <w:szCs w:val="32"/>
          <w:highlight w:val="none"/>
          <w:shd w:val="clear" w:color="auto" w:fill="FFFFFF"/>
          <w:lang w:val="zh-CN" w:eastAsia="zh-CN"/>
        </w:rPr>
        <w:t>个，涉及预算总金额</w:t>
      </w:r>
      <w:r>
        <w:rPr>
          <w:rFonts w:hint="default" w:cs="Times New Roman"/>
          <w:color w:val="000000"/>
          <w:kern w:val="0"/>
          <w:szCs w:val="32"/>
          <w:highlight w:val="none"/>
          <w:shd w:val="clear" w:color="auto" w:fill="FFFFFF"/>
          <w:lang w:val="en-US" w:eastAsia="zh-CN"/>
        </w:rPr>
        <w:t>575.65</w:t>
      </w:r>
      <w:r>
        <w:rPr>
          <w:rFonts w:hint="default" w:cs="Times New Roman"/>
          <w:color w:val="000000"/>
          <w:kern w:val="0"/>
          <w:szCs w:val="32"/>
          <w:highlight w:val="none"/>
          <w:shd w:val="clear" w:color="auto" w:fill="FFFFFF"/>
          <w:lang w:val="zh-CN" w:eastAsia="zh-CN"/>
        </w:rPr>
        <w:t>万元，</w:t>
      </w:r>
      <w:r>
        <w:rPr>
          <w:rFonts w:hint="default" w:cs="Times New Roman"/>
          <w:color w:val="000000"/>
          <w:kern w:val="0"/>
          <w:szCs w:val="32"/>
          <w:highlight w:val="none"/>
          <w:shd w:val="clear" w:color="auto" w:fill="FFFFFF"/>
          <w:lang w:val="zh-CN"/>
        </w:rPr>
        <w:t>1</w:t>
      </w:r>
      <w:r>
        <w:rPr>
          <w:rFonts w:hint="eastAsia" w:cs="Times New Roman"/>
          <w:color w:val="000000"/>
          <w:kern w:val="0"/>
          <w:szCs w:val="32"/>
          <w:highlight w:val="none"/>
          <w:shd w:val="clear" w:color="auto" w:fill="FFFFFF"/>
          <w:lang w:val="zh-CN" w:eastAsia="zh-CN"/>
        </w:rPr>
        <w:t>—</w:t>
      </w:r>
      <w:r>
        <w:rPr>
          <w:rFonts w:hint="default" w:cs="Times New Roman"/>
          <w:color w:val="000000"/>
          <w:kern w:val="0"/>
          <w:szCs w:val="32"/>
          <w:highlight w:val="none"/>
          <w:shd w:val="clear" w:color="auto" w:fill="FFFFFF"/>
          <w:lang w:val="zh-CN"/>
        </w:rPr>
        <w:t>1</w:t>
      </w:r>
      <w:r>
        <w:rPr>
          <w:rFonts w:hint="default" w:cs="Times New Roman"/>
          <w:color w:val="000000"/>
          <w:kern w:val="0"/>
          <w:szCs w:val="32"/>
          <w:highlight w:val="none"/>
          <w:shd w:val="clear" w:color="auto" w:fill="FFFFFF"/>
          <w:lang w:val="en-US" w:eastAsia="zh-CN"/>
        </w:rPr>
        <w:t>2</w:t>
      </w:r>
      <w:r>
        <w:rPr>
          <w:rFonts w:hint="default" w:cs="Times New Roman"/>
          <w:color w:val="000000"/>
          <w:kern w:val="0"/>
          <w:szCs w:val="32"/>
          <w:highlight w:val="none"/>
          <w:shd w:val="clear" w:color="auto" w:fill="FFFFFF"/>
          <w:lang w:val="zh-CN"/>
        </w:rPr>
        <w:t>月预算执行总体进度为</w:t>
      </w:r>
      <w:r>
        <w:rPr>
          <w:rFonts w:hint="eastAsia" w:cs="Times New Roman"/>
          <w:color w:val="000000"/>
          <w:kern w:val="0"/>
          <w:szCs w:val="32"/>
          <w:highlight w:val="none"/>
          <w:shd w:val="clear" w:color="auto" w:fill="FFFFFF"/>
          <w:lang w:val="en-US" w:eastAsia="zh-CN"/>
        </w:rPr>
        <w:t>100</w:t>
      </w:r>
      <w:r>
        <w:rPr>
          <w:rFonts w:hint="default" w:cs="Times New Roman"/>
          <w:color w:val="000000"/>
          <w:kern w:val="0"/>
          <w:szCs w:val="32"/>
          <w:highlight w:val="none"/>
          <w:shd w:val="clear" w:color="auto" w:fill="FFFFFF"/>
          <w:lang w:val="zh-CN"/>
        </w:rPr>
        <w:t>%，其中：</w:t>
      </w:r>
      <w:r>
        <w:rPr>
          <w:rFonts w:hint="default" w:cs="Times New Roman"/>
          <w:color w:val="000000"/>
          <w:kern w:val="0"/>
          <w:szCs w:val="32"/>
          <w:highlight w:val="none"/>
          <w:shd w:val="clear" w:color="auto" w:fill="FFFFFF"/>
          <w:lang w:val="zh-CN" w:eastAsia="zh-CN"/>
        </w:rPr>
        <w:t>预算结余率大于</w:t>
      </w:r>
      <w:r>
        <w:rPr>
          <w:rFonts w:hint="default" w:cs="Times New Roman"/>
          <w:color w:val="000000"/>
          <w:kern w:val="0"/>
          <w:szCs w:val="32"/>
          <w:highlight w:val="none"/>
          <w:shd w:val="clear" w:color="auto" w:fill="FFFFFF"/>
          <w:lang w:val="en-US" w:eastAsia="zh-CN"/>
        </w:rPr>
        <w:t>10%</w:t>
      </w:r>
      <w:r>
        <w:rPr>
          <w:rFonts w:hint="default" w:cs="Times New Roman"/>
          <w:color w:val="000000"/>
          <w:kern w:val="0"/>
          <w:szCs w:val="32"/>
          <w:highlight w:val="none"/>
          <w:shd w:val="clear" w:color="auto" w:fill="FFFFFF"/>
          <w:lang w:val="zh-CN" w:eastAsia="zh-CN"/>
        </w:rPr>
        <w:t>的项目共计</w:t>
      </w:r>
      <w:r>
        <w:rPr>
          <w:rFonts w:hint="eastAsia" w:cs="Times New Roman"/>
          <w:color w:val="000000"/>
          <w:kern w:val="0"/>
          <w:szCs w:val="32"/>
          <w:highlight w:val="none"/>
          <w:shd w:val="clear" w:color="auto" w:fill="FFFFFF"/>
          <w:lang w:val="en-US" w:eastAsia="zh-CN"/>
        </w:rPr>
        <w:t>0</w:t>
      </w:r>
      <w:r>
        <w:rPr>
          <w:rFonts w:hint="default" w:cs="Times New Roman"/>
          <w:color w:val="000000"/>
          <w:kern w:val="0"/>
          <w:szCs w:val="32"/>
          <w:highlight w:val="none"/>
          <w:shd w:val="clear" w:color="auto" w:fill="FFFFFF"/>
          <w:lang w:val="zh-CN" w:eastAsia="zh-CN"/>
        </w:rPr>
        <w:t>个。</w:t>
      </w:r>
    </w:p>
    <w:p w14:paraId="5527836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cs="Times New Roman"/>
          <w:color w:val="000000"/>
          <w:kern w:val="0"/>
          <w:szCs w:val="32"/>
          <w:highlight w:val="none"/>
          <w:shd w:val="clear" w:color="auto" w:fill="FFFFFF"/>
          <w:lang w:val="zh-CN" w:eastAsia="zh-CN"/>
        </w:rPr>
      </w:pPr>
      <w:r>
        <w:rPr>
          <w:rFonts w:hint="default" w:cs="Times New Roman"/>
          <w:color w:val="000000"/>
          <w:kern w:val="0"/>
          <w:szCs w:val="32"/>
          <w:highlight w:val="none"/>
          <w:shd w:val="clear" w:color="auto" w:fill="FFFFFF"/>
          <w:lang w:val="en-US" w:eastAsia="zh-CN"/>
        </w:rPr>
        <w:t>阶段</w:t>
      </w:r>
      <w:r>
        <w:rPr>
          <w:rFonts w:hint="eastAsia" w:cs="Times New Roman"/>
          <w:color w:val="000000"/>
          <w:kern w:val="0"/>
          <w:szCs w:val="32"/>
          <w:highlight w:val="none"/>
          <w:shd w:val="clear" w:color="auto" w:fill="FFFFFF"/>
          <w:lang w:val="en-US" w:eastAsia="zh-CN"/>
        </w:rPr>
        <w:t>（</w:t>
      </w:r>
      <w:r>
        <w:rPr>
          <w:rFonts w:hint="default" w:cs="Times New Roman"/>
          <w:color w:val="000000"/>
          <w:kern w:val="0"/>
          <w:szCs w:val="32"/>
          <w:highlight w:val="none"/>
          <w:shd w:val="clear" w:color="auto" w:fill="FFFFFF"/>
          <w:lang w:val="en-US" w:eastAsia="zh-CN"/>
        </w:rPr>
        <w:t>一次性</w:t>
      </w:r>
      <w:r>
        <w:rPr>
          <w:rFonts w:hint="eastAsia" w:cs="Times New Roman"/>
          <w:color w:val="000000"/>
          <w:kern w:val="0"/>
          <w:szCs w:val="32"/>
          <w:highlight w:val="none"/>
          <w:shd w:val="clear" w:color="auto" w:fill="FFFFFF"/>
          <w:lang w:val="en-US" w:eastAsia="zh-CN"/>
        </w:rPr>
        <w:t>）</w:t>
      </w:r>
      <w:r>
        <w:rPr>
          <w:rFonts w:hint="default" w:cs="Times New Roman"/>
          <w:color w:val="000000"/>
          <w:kern w:val="0"/>
          <w:szCs w:val="32"/>
          <w:highlight w:val="none"/>
          <w:shd w:val="clear" w:color="auto" w:fill="FFFFFF"/>
          <w:lang w:val="en-US" w:eastAsia="zh-CN"/>
        </w:rPr>
        <w:t>项目绩效分析。</w:t>
      </w:r>
      <w:r>
        <w:rPr>
          <w:rFonts w:hint="default" w:cs="Times New Roman"/>
          <w:color w:val="000000"/>
          <w:kern w:val="0"/>
          <w:szCs w:val="32"/>
          <w:highlight w:val="none"/>
          <w:shd w:val="clear" w:color="auto" w:fill="FFFFFF"/>
          <w:lang w:val="zh-CN" w:eastAsia="zh-CN"/>
        </w:rPr>
        <w:t>该类项目总数</w:t>
      </w:r>
      <w:r>
        <w:rPr>
          <w:rFonts w:hint="eastAsia" w:cs="Times New Roman"/>
          <w:color w:val="000000"/>
          <w:kern w:val="0"/>
          <w:szCs w:val="32"/>
          <w:highlight w:val="none"/>
          <w:shd w:val="clear" w:color="auto" w:fill="FFFFFF"/>
          <w:lang w:val="en-US" w:eastAsia="zh-CN"/>
        </w:rPr>
        <w:t>1</w:t>
      </w:r>
      <w:r>
        <w:rPr>
          <w:rFonts w:hint="default" w:cs="Times New Roman"/>
          <w:color w:val="000000"/>
          <w:kern w:val="0"/>
          <w:szCs w:val="32"/>
          <w:highlight w:val="none"/>
          <w:shd w:val="clear" w:color="auto" w:fill="FFFFFF"/>
          <w:lang w:val="zh-CN" w:eastAsia="zh-CN"/>
        </w:rPr>
        <w:t>个，涉及预算总金额</w:t>
      </w:r>
      <w:r>
        <w:rPr>
          <w:rFonts w:hint="eastAsia" w:cs="Times New Roman"/>
          <w:color w:val="000000"/>
          <w:kern w:val="0"/>
          <w:szCs w:val="32"/>
          <w:highlight w:val="none"/>
          <w:shd w:val="clear" w:color="auto" w:fill="FFFFFF"/>
          <w:lang w:val="en-US" w:eastAsia="zh-CN"/>
        </w:rPr>
        <w:t>0.52</w:t>
      </w:r>
      <w:r>
        <w:rPr>
          <w:rFonts w:hint="default" w:cs="Times New Roman"/>
          <w:color w:val="000000"/>
          <w:kern w:val="0"/>
          <w:szCs w:val="32"/>
          <w:highlight w:val="none"/>
          <w:shd w:val="clear" w:color="auto" w:fill="FFFFFF"/>
          <w:lang w:val="zh-CN" w:eastAsia="zh-CN"/>
        </w:rPr>
        <w:t>万元，</w:t>
      </w:r>
      <w:r>
        <w:rPr>
          <w:rFonts w:hint="default" w:cs="Times New Roman"/>
          <w:color w:val="000000"/>
          <w:kern w:val="0"/>
          <w:szCs w:val="32"/>
          <w:highlight w:val="none"/>
          <w:shd w:val="clear" w:color="auto" w:fill="FFFFFF"/>
          <w:lang w:val="zh-CN"/>
        </w:rPr>
        <w:t>1</w:t>
      </w:r>
      <w:r>
        <w:rPr>
          <w:rFonts w:hint="eastAsia" w:cs="Times New Roman"/>
          <w:color w:val="000000"/>
          <w:kern w:val="0"/>
          <w:szCs w:val="32"/>
          <w:highlight w:val="none"/>
          <w:shd w:val="clear" w:color="auto" w:fill="FFFFFF"/>
          <w:lang w:val="zh-CN" w:eastAsia="zh-CN"/>
        </w:rPr>
        <w:t>—</w:t>
      </w:r>
      <w:r>
        <w:rPr>
          <w:rFonts w:hint="default" w:cs="Times New Roman"/>
          <w:color w:val="000000"/>
          <w:kern w:val="0"/>
          <w:szCs w:val="32"/>
          <w:highlight w:val="none"/>
          <w:shd w:val="clear" w:color="auto" w:fill="FFFFFF"/>
          <w:lang w:val="zh-CN"/>
        </w:rPr>
        <w:t>1</w:t>
      </w:r>
      <w:r>
        <w:rPr>
          <w:rFonts w:hint="default" w:cs="Times New Roman"/>
          <w:color w:val="000000"/>
          <w:kern w:val="0"/>
          <w:szCs w:val="32"/>
          <w:highlight w:val="none"/>
          <w:shd w:val="clear" w:color="auto" w:fill="FFFFFF"/>
          <w:lang w:val="en-US" w:eastAsia="zh-CN"/>
        </w:rPr>
        <w:t>2</w:t>
      </w:r>
      <w:r>
        <w:rPr>
          <w:rFonts w:hint="default" w:cs="Times New Roman"/>
          <w:color w:val="000000"/>
          <w:kern w:val="0"/>
          <w:szCs w:val="32"/>
          <w:highlight w:val="none"/>
          <w:shd w:val="clear" w:color="auto" w:fill="FFFFFF"/>
          <w:lang w:val="zh-CN"/>
        </w:rPr>
        <w:t>月预算执行总体进度为</w:t>
      </w:r>
      <w:r>
        <w:rPr>
          <w:rFonts w:hint="eastAsia" w:cs="Times New Roman"/>
          <w:color w:val="000000"/>
          <w:kern w:val="0"/>
          <w:szCs w:val="32"/>
          <w:highlight w:val="none"/>
          <w:shd w:val="clear" w:color="auto" w:fill="FFFFFF"/>
          <w:lang w:val="en-US" w:eastAsia="zh-CN"/>
        </w:rPr>
        <w:t>100</w:t>
      </w:r>
      <w:r>
        <w:rPr>
          <w:rFonts w:hint="default" w:cs="Times New Roman"/>
          <w:color w:val="000000"/>
          <w:kern w:val="0"/>
          <w:szCs w:val="32"/>
          <w:highlight w:val="none"/>
          <w:shd w:val="clear" w:color="auto" w:fill="FFFFFF"/>
          <w:lang w:val="zh-CN"/>
        </w:rPr>
        <w:t>%，其中：</w:t>
      </w:r>
      <w:r>
        <w:rPr>
          <w:rFonts w:hint="default" w:cs="Times New Roman"/>
          <w:color w:val="000000"/>
          <w:kern w:val="0"/>
          <w:szCs w:val="32"/>
          <w:highlight w:val="none"/>
          <w:shd w:val="clear" w:color="auto" w:fill="FFFFFF"/>
          <w:lang w:val="zh-CN" w:eastAsia="zh-CN"/>
        </w:rPr>
        <w:t>预算结余率大于</w:t>
      </w:r>
      <w:r>
        <w:rPr>
          <w:rFonts w:hint="default" w:cs="Times New Roman"/>
          <w:color w:val="000000"/>
          <w:kern w:val="0"/>
          <w:szCs w:val="32"/>
          <w:highlight w:val="none"/>
          <w:shd w:val="clear" w:color="auto" w:fill="FFFFFF"/>
          <w:lang w:val="en-US" w:eastAsia="zh-CN"/>
        </w:rPr>
        <w:t>10%</w:t>
      </w:r>
      <w:r>
        <w:rPr>
          <w:rFonts w:hint="default" w:cs="Times New Roman"/>
          <w:color w:val="000000"/>
          <w:kern w:val="0"/>
          <w:szCs w:val="32"/>
          <w:highlight w:val="none"/>
          <w:shd w:val="clear" w:color="auto" w:fill="FFFFFF"/>
          <w:lang w:val="zh-CN" w:eastAsia="zh-CN"/>
        </w:rPr>
        <w:t>的项目共计</w:t>
      </w:r>
      <w:r>
        <w:rPr>
          <w:rFonts w:hint="eastAsia" w:cs="Times New Roman"/>
          <w:color w:val="000000"/>
          <w:kern w:val="0"/>
          <w:szCs w:val="32"/>
          <w:highlight w:val="none"/>
          <w:shd w:val="clear" w:color="auto" w:fill="FFFFFF"/>
          <w:lang w:val="en-US" w:eastAsia="zh-CN"/>
        </w:rPr>
        <w:t>0</w:t>
      </w:r>
      <w:r>
        <w:rPr>
          <w:rFonts w:hint="default" w:cs="Times New Roman"/>
          <w:color w:val="000000"/>
          <w:kern w:val="0"/>
          <w:szCs w:val="32"/>
          <w:highlight w:val="none"/>
          <w:shd w:val="clear" w:color="auto" w:fill="FFFFFF"/>
          <w:lang w:val="zh-CN" w:eastAsia="zh-CN"/>
        </w:rPr>
        <w:t>个。</w:t>
      </w:r>
    </w:p>
    <w:p w14:paraId="2779D93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1.</w:t>
      </w:r>
      <w:r>
        <w:rPr>
          <w:rFonts w:hint="eastAsia" w:ascii="楷体_GB2312" w:hAnsi="楷体_GB2312" w:eastAsia="楷体_GB2312" w:cs="楷体_GB2312"/>
          <w:color w:val="000000"/>
          <w:kern w:val="0"/>
          <w:szCs w:val="32"/>
          <w:highlight w:val="none"/>
          <w:shd w:val="clear" w:color="auto" w:fill="FFFFFF"/>
          <w:lang w:val="zh-CN"/>
        </w:rPr>
        <w:t>项目决策。</w:t>
      </w:r>
      <w:r>
        <w:rPr>
          <w:rFonts w:hint="eastAsia" w:ascii="Times New Roman" w:hAnsi="Times New Roman" w:cs="Times New Roman"/>
          <w:color w:val="000000"/>
          <w:kern w:val="0"/>
          <w:szCs w:val="32"/>
          <w:highlight w:val="none"/>
          <w:shd w:val="clear" w:color="auto" w:fill="FFFFFF"/>
          <w:lang w:val="zh-CN"/>
        </w:rPr>
        <w:t>充分发挥工会组织作为党联系职工群众的桥梁纽带作用，着重在引领社会、组织社会、管理社会、服务社会、稳定社会等方面发挥协同作用，在促进社会和谐中发挥工会职能。</w:t>
      </w:r>
      <w:r>
        <w:rPr>
          <w:rFonts w:hint="eastAsia" w:cs="Times New Roman"/>
          <w:color w:val="000000"/>
          <w:kern w:val="0"/>
          <w:szCs w:val="32"/>
          <w:highlight w:val="none"/>
          <w:shd w:val="clear" w:color="auto" w:fill="FFFFFF"/>
          <w:lang w:val="zh-CN"/>
        </w:rPr>
        <w:t>根据年初预算以及年中调整设置项目，根据部门职能职责设置绩效目标。</w:t>
      </w:r>
    </w:p>
    <w:p w14:paraId="380B50E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2.项目执行</w:t>
      </w:r>
      <w:r>
        <w:rPr>
          <w:rFonts w:hint="eastAsia" w:ascii="楷体_GB2312" w:hAnsi="楷体_GB2312" w:eastAsia="楷体_GB2312" w:cs="楷体_GB2312"/>
          <w:color w:val="000000"/>
          <w:kern w:val="0"/>
          <w:szCs w:val="32"/>
          <w:highlight w:val="none"/>
          <w:shd w:val="clear" w:color="auto" w:fill="FFFFFF"/>
          <w:lang w:val="zh-CN"/>
        </w:rPr>
        <w:t>。</w:t>
      </w:r>
      <w:r>
        <w:rPr>
          <w:rFonts w:hint="eastAsia" w:ascii="Times New Roman" w:hAnsi="Times New Roman" w:cs="Times New Roman"/>
          <w:color w:val="000000"/>
          <w:kern w:val="0"/>
          <w:szCs w:val="32"/>
          <w:highlight w:val="none"/>
          <w:shd w:val="clear" w:color="auto" w:fill="FFFFFF"/>
          <w:lang w:val="zh-CN"/>
        </w:rPr>
        <w:t>按照“专款专用”的原则，严格执行预算。</w:t>
      </w:r>
      <w:r>
        <w:rPr>
          <w:rFonts w:hint="eastAsia" w:cs="Times New Roman"/>
          <w:color w:val="000000"/>
          <w:kern w:val="0"/>
          <w:szCs w:val="32"/>
          <w:highlight w:val="none"/>
          <w:shd w:val="clear" w:color="auto" w:fill="FFFFFF"/>
          <w:lang w:val="zh-CN"/>
        </w:rPr>
        <w:t>县级财政资金按照预算保障单位各项行政支出，保障了单位的正常运转，职工工资、奖金按时发放到位，医保、社保、公积金按月缴纳。省级财政工会专项资金按照《四川省财政厅关于下达2023年省级财政工会专项资金预算的通知》支出，确保劳模、困难职工（农民工）帮扶资金，送温暖慰问资金全部发放到位，执行有效且及时，资金无截留、无挪用。</w:t>
      </w:r>
    </w:p>
    <w:p w14:paraId="06AFD16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3.</w:t>
      </w:r>
      <w:r>
        <w:rPr>
          <w:rFonts w:hint="eastAsia" w:ascii="楷体_GB2312" w:hAnsi="楷体_GB2312" w:eastAsia="楷体_GB2312" w:cs="楷体_GB2312"/>
          <w:color w:val="000000"/>
          <w:kern w:val="0"/>
          <w:szCs w:val="32"/>
          <w:highlight w:val="none"/>
          <w:shd w:val="clear" w:color="auto" w:fill="FFFFFF"/>
          <w:lang w:val="zh-CN"/>
        </w:rPr>
        <w:t>目标实现。</w:t>
      </w:r>
      <w:r>
        <w:rPr>
          <w:rFonts w:hint="eastAsia" w:cs="Times New Roman"/>
          <w:color w:val="000000"/>
          <w:kern w:val="0"/>
          <w:szCs w:val="32"/>
          <w:highlight w:val="none"/>
          <w:shd w:val="clear" w:color="auto" w:fill="FFFFFF"/>
          <w:lang w:val="zh-CN"/>
        </w:rPr>
        <w:t>项目</w:t>
      </w:r>
      <w:r>
        <w:rPr>
          <w:rFonts w:hint="eastAsia" w:ascii="Times New Roman" w:hAnsi="Times New Roman" w:cs="Times New Roman"/>
          <w:color w:val="000000"/>
          <w:kern w:val="0"/>
          <w:szCs w:val="32"/>
          <w:highlight w:val="none"/>
          <w:shd w:val="clear" w:color="auto" w:fill="FFFFFF"/>
          <w:lang w:val="zh-CN"/>
        </w:rPr>
        <w:t>资金严格按照资金用途进行使用，做到了</w:t>
      </w:r>
      <w:r>
        <w:rPr>
          <w:rFonts w:hint="eastAsia" w:cs="Times New Roman"/>
          <w:color w:val="000000"/>
          <w:kern w:val="0"/>
          <w:szCs w:val="32"/>
          <w:highlight w:val="none"/>
          <w:shd w:val="clear" w:color="auto" w:fill="FFFFFF"/>
          <w:lang w:val="zh-CN"/>
        </w:rPr>
        <w:t>保障单位运行，</w:t>
      </w:r>
      <w:r>
        <w:rPr>
          <w:rFonts w:hint="eastAsia" w:ascii="Times New Roman" w:hAnsi="Times New Roman" w:cs="Times New Roman"/>
          <w:color w:val="000000"/>
          <w:kern w:val="0"/>
          <w:szCs w:val="32"/>
          <w:highlight w:val="none"/>
          <w:shd w:val="clear" w:color="auto" w:fill="FFFFFF"/>
          <w:lang w:val="zh-CN"/>
        </w:rPr>
        <w:t>厉行节俭。每笔资金都能及时发放</w:t>
      </w:r>
      <w:r>
        <w:rPr>
          <w:rFonts w:hint="eastAsia" w:cs="Times New Roman"/>
          <w:color w:val="000000"/>
          <w:kern w:val="0"/>
          <w:szCs w:val="32"/>
          <w:highlight w:val="none"/>
          <w:shd w:val="clear" w:color="auto" w:fill="FFFFFF"/>
          <w:lang w:val="zh-CN"/>
        </w:rPr>
        <w:t>，</w:t>
      </w:r>
      <w:r>
        <w:rPr>
          <w:rFonts w:hint="eastAsia" w:ascii="Times New Roman" w:hAnsi="Times New Roman" w:cs="Times New Roman"/>
          <w:color w:val="000000"/>
          <w:kern w:val="0"/>
          <w:szCs w:val="32"/>
          <w:highlight w:val="none"/>
          <w:shd w:val="clear" w:color="auto" w:fill="FFFFFF"/>
          <w:lang w:val="zh-CN"/>
        </w:rPr>
        <w:t>通过对劳模、困难职工的</w:t>
      </w:r>
      <w:r>
        <w:rPr>
          <w:rFonts w:hint="eastAsia" w:cs="Times New Roman"/>
          <w:color w:val="000000"/>
          <w:kern w:val="0"/>
          <w:szCs w:val="32"/>
          <w:highlight w:val="none"/>
          <w:shd w:val="clear" w:color="auto" w:fill="FFFFFF"/>
          <w:lang w:val="zh-CN"/>
        </w:rPr>
        <w:t>救助</w:t>
      </w:r>
      <w:r>
        <w:rPr>
          <w:rFonts w:hint="eastAsia" w:ascii="Times New Roman" w:hAnsi="Times New Roman" w:cs="Times New Roman"/>
          <w:color w:val="000000"/>
          <w:kern w:val="0"/>
          <w:szCs w:val="32"/>
          <w:highlight w:val="none"/>
          <w:shd w:val="clear" w:color="auto" w:fill="FFFFFF"/>
          <w:lang w:val="zh-CN"/>
        </w:rPr>
        <w:t>，体现了党和政府对劳模及困难职工的关心和重视</w:t>
      </w:r>
      <w:r>
        <w:rPr>
          <w:rFonts w:hint="eastAsia" w:cs="Times New Roman"/>
          <w:color w:val="000000"/>
          <w:kern w:val="0"/>
          <w:szCs w:val="32"/>
          <w:highlight w:val="none"/>
          <w:shd w:val="clear" w:color="auto" w:fill="FFFFFF"/>
          <w:lang w:val="zh-CN"/>
        </w:rPr>
        <w:t>。</w:t>
      </w:r>
      <w:r>
        <w:rPr>
          <w:rFonts w:hint="eastAsia" w:ascii="Times New Roman" w:hAnsi="Times New Roman" w:cs="Times New Roman"/>
          <w:color w:val="000000"/>
          <w:kern w:val="0"/>
          <w:szCs w:val="32"/>
          <w:highlight w:val="none"/>
          <w:shd w:val="clear" w:color="auto" w:fill="FFFFFF"/>
          <w:lang w:val="zh-CN"/>
        </w:rPr>
        <w:t>对劳模及困难职工本人的随机电话调查，没有对这一项目开展效果不满意的反映，满意度指标达到年初预期。</w:t>
      </w:r>
    </w:p>
    <w:p w14:paraId="0AA50FD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zh-CN"/>
        </w:rPr>
        <w:t>三</w:t>
      </w:r>
      <w:r>
        <w:rPr>
          <w:rFonts w:hint="default" w:ascii="Times New Roman" w:hAnsi="Times New Roman" w:eastAsia="楷体_GB2312" w:cs="Times New Roman"/>
          <w:b/>
          <w:bCs/>
          <w:color w:val="000000"/>
          <w:kern w:val="0"/>
          <w:szCs w:val="32"/>
          <w:highlight w:val="none"/>
          <w:shd w:val="clear" w:color="auto" w:fill="FFFFFF"/>
          <w:lang w:val="zh-CN"/>
        </w:rPr>
        <w:t>）</w:t>
      </w:r>
      <w:r>
        <w:rPr>
          <w:rFonts w:hint="default" w:ascii="Times New Roman" w:hAnsi="Times New Roman" w:eastAsia="楷体_GB2312" w:cs="Times New Roman"/>
          <w:b/>
          <w:bCs/>
          <w:color w:val="000000"/>
          <w:kern w:val="0"/>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Cs w:val="32"/>
          <w:highlight w:val="none"/>
          <w:shd w:val="clear" w:color="auto" w:fill="FFFFFF"/>
          <w:lang w:val="zh-CN"/>
        </w:rPr>
        <w:t>绩效分析</w:t>
      </w:r>
      <w:r>
        <w:rPr>
          <w:rFonts w:hint="default" w:ascii="Times New Roman" w:hAnsi="Times New Roman" w:eastAsia="楷体_GB2312" w:cs="Times New Roman"/>
          <w:b/>
          <w:bCs/>
          <w:color w:val="000000"/>
          <w:kern w:val="0"/>
          <w:szCs w:val="32"/>
          <w:highlight w:val="none"/>
          <w:shd w:val="clear" w:color="auto" w:fill="FFFFFF"/>
          <w:lang w:val="zh-CN" w:eastAsia="zh-CN"/>
        </w:rPr>
        <w:t>。</w:t>
      </w:r>
      <w:r>
        <w:rPr>
          <w:rFonts w:hint="eastAsia" w:cs="Times New Roman"/>
          <w:sz w:val="32"/>
          <w:szCs w:val="32"/>
          <w:highlight w:val="none"/>
          <w:u w:val="none"/>
          <w:lang w:val="en-US" w:eastAsia="zh-CN"/>
        </w:rPr>
        <w:t>2023年使用代管资金0.52万元采购2台空调用于完善户外劳动者站点建设，严格执行政府采购的程序：项目入库、立项、实施、评价。通过此项目完善了户外劳动者站点的设施，完成了2023年度送清凉任务，更好地服务职工，激励职工积极参与县域经济建设。</w:t>
      </w:r>
    </w:p>
    <w:p w14:paraId="50173AB0">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仿宋_GB2312" w:cs="Times New Roman"/>
          <w:b/>
          <w:bCs w:val="0"/>
          <w:color w:val="000000"/>
          <w:kern w:val="0"/>
          <w:szCs w:val="32"/>
          <w:highlight w:val="none"/>
          <w:shd w:val="clear" w:color="auto" w:fill="FFFFFF"/>
          <w:lang w:val="zh-CN" w:eastAsia="zh-CN"/>
        </w:rPr>
      </w:pPr>
      <w:r>
        <w:rPr>
          <w:rFonts w:hint="default" w:ascii="Times New Roman" w:hAnsi="Times New Roman" w:eastAsia="楷体_GB2312" w:cs="Times New Roman"/>
          <w:b/>
          <w:bCs/>
          <w:szCs w:val="32"/>
          <w:lang w:val="zh-CN"/>
        </w:rPr>
        <w:t>（四）绩效结果应用情况</w:t>
      </w:r>
      <w:r>
        <w:rPr>
          <w:rFonts w:hint="eastAsia" w:ascii="Times New Roman" w:hAnsi="Times New Roman" w:eastAsia="楷体_GB2312" w:cs="Times New Roman"/>
          <w:b/>
          <w:bCs/>
          <w:szCs w:val="32"/>
          <w:lang w:val="zh-CN"/>
        </w:rPr>
        <w:t>。</w:t>
      </w:r>
      <w:r>
        <w:rPr>
          <w:rFonts w:hint="eastAsia" w:ascii="仿宋_GB2312" w:hAnsi="仿宋_GB2312" w:eastAsia="仿宋_GB2312" w:cs="仿宋_GB2312"/>
          <w:b/>
          <w:bCs/>
          <w:szCs w:val="32"/>
          <w:lang w:val="zh-CN"/>
        </w:rPr>
        <w:t>召开预算项目绩效运行监控分析会，各部室负责人、预算项目经办人参会。按照“谁支出，谁负责”的原则，各部室负责人对年初预算项目的完成进度进行了总体阐述，绩效评价结果与下年度资金安排直接挂钩。</w:t>
      </w:r>
    </w:p>
    <w:p w14:paraId="052FE41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黑体" w:cs="Times New Roman"/>
          <w:color w:val="000000"/>
          <w:kern w:val="0"/>
          <w:szCs w:val="32"/>
          <w:highlight w:val="none"/>
          <w:shd w:val="clear" w:color="auto" w:fill="FFFFFF"/>
        </w:rPr>
      </w:pPr>
      <w:r>
        <w:rPr>
          <w:rFonts w:hint="default" w:ascii="Times New Roman" w:hAnsi="Times New Roman" w:eastAsia="黑体" w:cs="Times New Roman"/>
          <w:color w:val="000000"/>
          <w:kern w:val="0"/>
          <w:szCs w:val="32"/>
          <w:highlight w:val="none"/>
          <w:shd w:val="clear" w:color="auto" w:fill="FFFFFF"/>
          <w:lang w:eastAsia="zh-CN"/>
        </w:rPr>
        <w:t>四、</w:t>
      </w:r>
      <w:r>
        <w:rPr>
          <w:rFonts w:hint="default" w:ascii="Times New Roman" w:hAnsi="Times New Roman" w:eastAsia="黑体" w:cs="Times New Roman"/>
          <w:color w:val="000000"/>
          <w:kern w:val="0"/>
          <w:szCs w:val="32"/>
          <w:highlight w:val="none"/>
          <w:shd w:val="clear" w:color="auto" w:fill="FFFFFF"/>
        </w:rPr>
        <w:t>评价结论及建议</w:t>
      </w:r>
    </w:p>
    <w:p w14:paraId="29BC119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Cs w:val="32"/>
          <w:highlight w:val="none"/>
          <w:shd w:val="clear" w:color="auto" w:fill="FFFFFF"/>
          <w:lang w:val="zh-CN"/>
        </w:rPr>
        <w:t>（一）评价结论。</w:t>
      </w:r>
      <w:r>
        <w:rPr>
          <w:rFonts w:hint="eastAsia" w:ascii="仿宋_GB2312" w:hAnsi="仿宋_GB2312" w:eastAsia="仿宋_GB2312" w:cs="仿宋_GB2312"/>
          <w:b/>
          <w:bCs/>
          <w:kern w:val="0"/>
          <w:position w:val="0"/>
          <w:sz w:val="32"/>
          <w:szCs w:val="32"/>
          <w:highlight w:val="none"/>
          <w:lang w:val="en-US" w:eastAsia="zh-CN" w:bidi="ar-SA"/>
        </w:rPr>
        <w:t>我</w:t>
      </w:r>
      <w:r>
        <w:rPr>
          <w:rFonts w:hint="eastAsia" w:ascii="仿宋_GB2312" w:hAnsi="仿宋_GB2312" w:cs="仿宋_GB2312"/>
          <w:b/>
          <w:bCs/>
          <w:kern w:val="0"/>
          <w:position w:val="0"/>
          <w:sz w:val="32"/>
          <w:szCs w:val="32"/>
          <w:highlight w:val="none"/>
          <w:lang w:val="en-US" w:eastAsia="zh-CN" w:bidi="ar-SA"/>
        </w:rPr>
        <w:t>部门</w:t>
      </w:r>
      <w:r>
        <w:rPr>
          <w:rFonts w:hint="eastAsia" w:ascii="仿宋_GB2312" w:hAnsi="仿宋_GB2312" w:eastAsia="仿宋_GB2312" w:cs="仿宋_GB2312"/>
          <w:b/>
          <w:bCs/>
          <w:kern w:val="0"/>
          <w:position w:val="0"/>
          <w:sz w:val="32"/>
          <w:szCs w:val="32"/>
          <w:highlight w:val="none"/>
          <w:lang w:val="en-US" w:eastAsia="zh-CN" w:bidi="ar-SA"/>
        </w:rPr>
        <w:t>高度重视财政资金的支出绩效，无论在资金预算、审批、执行、支付等方面都做到了层层把关，严格执行资金管理相关规定及单位财务制度，切实做到资金专款专用，无挪用、套取、占用等违规等情况。自评综合得分</w:t>
      </w:r>
      <w:r>
        <w:rPr>
          <w:rFonts w:hint="eastAsia" w:ascii="仿宋_GB2312" w:hAnsi="仿宋_GB2312" w:cs="仿宋_GB2312"/>
          <w:b/>
          <w:bCs/>
          <w:kern w:val="0"/>
          <w:position w:val="0"/>
          <w:sz w:val="32"/>
          <w:szCs w:val="32"/>
          <w:highlight w:val="none"/>
          <w:lang w:val="en-US" w:eastAsia="zh-CN" w:bidi="ar-SA"/>
        </w:rPr>
        <w:t>93.4分。</w:t>
      </w:r>
    </w:p>
    <w:p w14:paraId="79318A6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w w:val="95"/>
          <w:kern w:val="0"/>
          <w:position w:val="0"/>
          <w:sz w:val="32"/>
          <w:szCs w:val="32"/>
          <w:highlight w:val="none"/>
          <w:lang w:val="en-US" w:eastAsia="zh-CN" w:bidi="ar-SA"/>
        </w:rPr>
      </w:pPr>
      <w:r>
        <w:rPr>
          <w:rFonts w:hint="default" w:ascii="Times New Roman" w:hAnsi="Times New Roman" w:eastAsia="楷体_GB2312" w:cs="Times New Roman"/>
          <w:b/>
          <w:bCs/>
          <w:color w:val="000000"/>
          <w:kern w:val="0"/>
          <w:szCs w:val="32"/>
          <w:highlight w:val="none"/>
          <w:shd w:val="clear" w:color="auto" w:fill="FFFFFF"/>
          <w:lang w:val="zh-CN"/>
        </w:rPr>
        <w:t>（二）存在问题。</w:t>
      </w:r>
      <w:r>
        <w:rPr>
          <w:rFonts w:hint="eastAsia" w:ascii="仿宋_GB2312" w:hAnsi="仿宋_GB2312" w:eastAsia="仿宋_GB2312" w:cs="仿宋_GB2312"/>
          <w:b/>
          <w:bCs/>
          <w:w w:val="95"/>
          <w:kern w:val="0"/>
          <w:position w:val="0"/>
          <w:sz w:val="32"/>
          <w:szCs w:val="32"/>
          <w:highlight w:val="none"/>
          <w:lang w:val="en-US" w:eastAsia="zh-CN" w:bidi="ar-SA"/>
        </w:rPr>
        <w:t>部分绩效指标缺乏科学合理</w:t>
      </w:r>
      <w:r>
        <w:rPr>
          <w:rFonts w:hint="eastAsia" w:ascii="仿宋_GB2312" w:hAnsi="仿宋_GB2312" w:cs="仿宋_GB2312"/>
          <w:b/>
          <w:bCs/>
          <w:w w:val="95"/>
          <w:kern w:val="0"/>
          <w:position w:val="0"/>
          <w:sz w:val="32"/>
          <w:szCs w:val="32"/>
          <w:highlight w:val="none"/>
          <w:lang w:val="en-US" w:eastAsia="zh-CN" w:bidi="ar-SA"/>
        </w:rPr>
        <w:t>地</w:t>
      </w:r>
      <w:r>
        <w:rPr>
          <w:rFonts w:hint="eastAsia" w:ascii="仿宋_GB2312" w:hAnsi="仿宋_GB2312" w:eastAsia="仿宋_GB2312" w:cs="仿宋_GB2312"/>
          <w:b/>
          <w:bCs/>
          <w:w w:val="95"/>
          <w:kern w:val="0"/>
          <w:position w:val="0"/>
          <w:sz w:val="32"/>
          <w:szCs w:val="32"/>
          <w:highlight w:val="none"/>
          <w:lang w:val="en-US" w:eastAsia="zh-CN" w:bidi="ar-SA"/>
        </w:rPr>
        <w:t>设置，绩效指标体系有待完善。</w:t>
      </w:r>
    </w:p>
    <w:p w14:paraId="41DD1BA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黑体" w:cs="Times New Roman"/>
          <w:szCs w:val="32"/>
          <w:highlight w:val="none"/>
          <w:lang w:val="en-US" w:eastAsia="zh-CN"/>
        </w:rPr>
      </w:pPr>
      <w:r>
        <w:rPr>
          <w:rFonts w:hint="default" w:ascii="Times New Roman" w:hAnsi="Times New Roman" w:eastAsia="楷体_GB2312" w:cs="Times New Roman"/>
          <w:b/>
          <w:bCs/>
          <w:color w:val="000000"/>
          <w:kern w:val="0"/>
          <w:szCs w:val="32"/>
          <w:highlight w:val="none"/>
          <w:shd w:val="clear" w:color="auto" w:fill="FFFFFF"/>
          <w:lang w:val="zh-CN" w:eastAsia="zh-CN"/>
        </w:rPr>
        <w:t>（三）改进建议。</w:t>
      </w:r>
      <w:r>
        <w:rPr>
          <w:rFonts w:hint="eastAsia" w:ascii="仿宋_GB2312" w:hAnsi="仿宋_GB2312" w:eastAsia="仿宋_GB2312" w:cs="仿宋_GB2312"/>
          <w:b/>
          <w:bCs/>
          <w:kern w:val="0"/>
          <w:position w:val="0"/>
          <w:sz w:val="32"/>
          <w:szCs w:val="32"/>
          <w:highlight w:val="none"/>
          <w:lang w:val="en-US" w:eastAsia="zh-CN" w:bidi="ar-SA"/>
        </w:rPr>
        <w:t>绩效管理的经验不足，还存在绩效目标申报不够全面，绩效指标量化不够，绩效评价方法有待优化，绩效自评组织实施还不够完善等问题，在今后的工作中需要进一步加以改进和完善，同时建议县财政局加强对部门财政支出绩效评价管理工作的培训和指导，提高部门绩效自评质量</w:t>
      </w:r>
      <w:r>
        <w:rPr>
          <w:rFonts w:hint="eastAsia" w:ascii="仿宋_GB2312" w:hAnsi="仿宋_GB2312" w:eastAsia="仿宋_GB2312" w:cs="仿宋_GB2312"/>
          <w:b w:val="0"/>
          <w:bCs w:val="0"/>
          <w:kern w:val="0"/>
          <w:position w:val="0"/>
          <w:sz w:val="32"/>
          <w:szCs w:val="32"/>
          <w:highlight w:val="none"/>
          <w:lang w:val="en-US" w:eastAsia="zh-CN" w:bidi="ar-SA"/>
        </w:rPr>
        <w:t>。</w:t>
      </w:r>
    </w:p>
    <w:p w14:paraId="31C9A03F">
      <w:pPr>
        <w:keepNext w:val="0"/>
        <w:keepLines w:val="0"/>
        <w:pageBreakBefore w:val="0"/>
        <w:kinsoku/>
        <w:wordWrap/>
        <w:overflowPunct/>
        <w:topLinePunct w:val="0"/>
        <w:autoSpaceDE/>
        <w:autoSpaceDN/>
        <w:bidi w:val="0"/>
        <w:spacing w:line="578" w:lineRule="exact"/>
        <w:ind w:firstLine="643" w:firstLineChars="200"/>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cs="Times New Roman"/>
          <w:color w:val="000000"/>
          <w:kern w:val="0"/>
          <w:szCs w:val="32"/>
          <w:highlight w:val="none"/>
          <w:shd w:val="clear" w:color="auto" w:fill="FFFFFF"/>
          <w:lang w:val="en-US" w:eastAsia="zh-CN"/>
        </w:rPr>
        <w:t>附表：</w:t>
      </w:r>
      <w:r>
        <w:rPr>
          <w:rFonts w:hint="default" w:ascii="Times New Roman" w:hAnsi="Times New Roman" w:cs="Times New Roman"/>
          <w:color w:val="000000"/>
          <w:kern w:val="0"/>
          <w:szCs w:val="32"/>
          <w:highlight w:val="none"/>
          <w:shd w:val="clear" w:color="auto" w:fill="FFFFFF"/>
          <w:lang w:val="en-US" w:eastAsia="zh-CN"/>
        </w:rPr>
        <w:t>部门整体支出绩效目标完成情况自评表</w:t>
      </w:r>
      <w:r>
        <w:rPr>
          <w:rFonts w:hint="default" w:ascii="Times New Roman" w:hAnsi="Times New Roman" w:cs="Times New Roman"/>
          <w:color w:val="000000"/>
          <w:kern w:val="0"/>
          <w:szCs w:val="32"/>
          <w:highlight w:val="none"/>
          <w:shd w:val="clear" w:color="auto" w:fill="FFFFFF"/>
          <w:lang w:val="en-US" w:eastAsia="zh-CN"/>
        </w:rPr>
        <w:br w:type="page"/>
      </w:r>
      <w:r>
        <w:rPr>
          <w:rFonts w:hint="eastAsia" w:ascii="黑体" w:hAnsi="黑体" w:eastAsia="黑体" w:cs="黑体"/>
          <w:kern w:val="2"/>
          <w:sz w:val="32"/>
          <w:szCs w:val="24"/>
          <w:highlight w:val="none"/>
          <w:lang w:val="en-US" w:eastAsia="zh-CN" w:bidi="ar-SA"/>
        </w:rPr>
        <w:t>附表</w:t>
      </w:r>
    </w:p>
    <w:tbl>
      <w:tblPr>
        <w:tblStyle w:val="15"/>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077"/>
        <w:gridCol w:w="1543"/>
        <w:gridCol w:w="1100"/>
        <w:gridCol w:w="1144"/>
        <w:gridCol w:w="1"/>
        <w:gridCol w:w="1000"/>
        <w:gridCol w:w="1125"/>
        <w:gridCol w:w="639"/>
        <w:gridCol w:w="972"/>
        <w:gridCol w:w="650"/>
      </w:tblGrid>
      <w:tr w14:paraId="1F0F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7" w:hRule="exact"/>
          <w:jc w:val="center"/>
        </w:trPr>
        <w:tc>
          <w:tcPr>
            <w:tcW w:w="10560" w:type="dxa"/>
            <w:gridSpan w:val="11"/>
            <w:shd w:val="clear" w:color="auto" w:fill="auto"/>
            <w:vAlign w:val="center"/>
          </w:tcPr>
          <w:p w14:paraId="191826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2462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1"/>
            <w:shd w:val="clear" w:color="auto" w:fill="auto"/>
            <w:vAlign w:val="center"/>
          </w:tcPr>
          <w:p w14:paraId="20851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（2023年度）</w:t>
            </w:r>
          </w:p>
        </w:tc>
      </w:tr>
      <w:tr w14:paraId="0BA8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1"/>
            <w:tcBorders>
              <w:bottom w:val="single" w:color="000000" w:sz="4" w:space="0"/>
            </w:tcBorders>
            <w:shd w:val="clear" w:color="auto" w:fill="auto"/>
            <w:vAlign w:val="center"/>
          </w:tcPr>
          <w:p w14:paraId="07DD5C9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4B60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982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5A39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总工会</w:t>
            </w:r>
          </w:p>
        </w:tc>
      </w:tr>
      <w:tr w14:paraId="71EA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544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7D4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9B4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E201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0462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BE21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2D8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575.65</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AB0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575.65</w:t>
            </w:r>
          </w:p>
        </w:tc>
        <w:tc>
          <w:tcPr>
            <w:tcW w:w="43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C098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0</w:t>
            </w:r>
          </w:p>
        </w:tc>
      </w:tr>
      <w:tr w14:paraId="4502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C1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263E82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EE7999">
            <w:pPr>
              <w:keepNext w:val="0"/>
              <w:keepLines w:val="0"/>
              <w:pageBreakBefore w:val="0"/>
              <w:widowControl/>
              <w:suppressLineNumbers w:val="0"/>
              <w:kinsoku/>
              <w:wordWrap/>
              <w:overflowPunct/>
              <w:topLinePunct w:val="0"/>
              <w:autoSpaceDE/>
              <w:autoSpaceDN/>
              <w:bidi w:val="0"/>
              <w:adjustRightInd/>
              <w:snapToGrid/>
              <w:spacing w:line="300" w:lineRule="exact"/>
              <w:ind w:firstLine="422" w:firstLineChars="20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开展职工思想政治和文化技术教育，建设“四有”职工队伍，提升职工素质。充分发挥广大职工群众的积极性，动员和组织职工参加建设和改革，促进社会经济发展。维护职工合法权益，对困难职工开展帮扶救助、提供法律援助。加强组织建设、扩大工会组织覆盖面，代表和组织职工参与国家和社会事务管理、参与企业、事业、机关的民主管理。</w:t>
            </w:r>
          </w:p>
        </w:tc>
      </w:tr>
      <w:tr w14:paraId="1E6C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D8D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w:t>
            </w:r>
          </w:p>
          <w:p w14:paraId="1B3CE7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54C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F78B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6AE8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905F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880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加强组织建设</w:t>
            </w:r>
          </w:p>
        </w:tc>
        <w:tc>
          <w:tcPr>
            <w:tcW w:w="66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BC60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新建工会组织20个</w:t>
            </w:r>
          </w:p>
        </w:tc>
      </w:tr>
      <w:tr w14:paraId="5677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9A90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AAC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eastAsia="宋体" w:cs="Times New Roman"/>
                <w:i w:val="0"/>
                <w:color w:val="000000"/>
                <w:kern w:val="0"/>
                <w:sz w:val="21"/>
                <w:szCs w:val="21"/>
                <w:u w:val="none"/>
                <w:lang w:val="en-US" w:eastAsia="zh-CN" w:bidi="ar"/>
              </w:rPr>
              <w:t>开展文体活动</w:t>
            </w:r>
          </w:p>
        </w:tc>
        <w:tc>
          <w:tcPr>
            <w:tcW w:w="66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2474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开展全县职工文体活动2个，丰富职工文化生活。</w:t>
            </w:r>
          </w:p>
        </w:tc>
      </w:tr>
      <w:tr w14:paraId="5E83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0912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FB8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eastAsia="宋体" w:cs="Times New Roman"/>
                <w:i w:val="0"/>
                <w:color w:val="000000"/>
                <w:kern w:val="0"/>
                <w:sz w:val="21"/>
                <w:szCs w:val="21"/>
                <w:u w:val="none"/>
                <w:lang w:val="en-US" w:eastAsia="zh-CN" w:bidi="ar"/>
              </w:rPr>
              <w:t>普惠福利</w:t>
            </w:r>
          </w:p>
        </w:tc>
        <w:tc>
          <w:tcPr>
            <w:tcW w:w="66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09B2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做实普惠福利，开展节日普惠送福利活动，深入开展“四送”活动。</w:t>
            </w:r>
          </w:p>
        </w:tc>
      </w:tr>
      <w:tr w14:paraId="0D81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FAAA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AF4C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维权帮扶</w:t>
            </w:r>
          </w:p>
        </w:tc>
        <w:tc>
          <w:tcPr>
            <w:tcW w:w="66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5B227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切实维权服务，整合力量和资源，最大限度维护职工合法权益。</w:t>
            </w:r>
          </w:p>
        </w:tc>
      </w:tr>
      <w:tr w14:paraId="6593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right w:val="single" w:color="000000" w:sz="4" w:space="0"/>
            </w:tcBorders>
            <w:shd w:val="clear" w:color="auto" w:fill="auto"/>
            <w:vAlign w:val="center"/>
          </w:tcPr>
          <w:p w14:paraId="7EE9F6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6EF60E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DE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一级指标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5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15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三级指标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80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绩效指标</w:t>
            </w:r>
          </w:p>
          <w:p w14:paraId="66708D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性质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38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绩效指标值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65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绩效度量单位</w:t>
            </w:r>
          </w:p>
        </w:tc>
        <w:tc>
          <w:tcPr>
            <w:tcW w:w="639" w:type="dxa"/>
            <w:tcBorders>
              <w:top w:val="single" w:color="000000" w:sz="4" w:space="0"/>
              <w:left w:val="single" w:color="000000" w:sz="4" w:space="0"/>
              <w:bottom w:val="single" w:color="000000" w:sz="4" w:space="0"/>
            </w:tcBorders>
            <w:shd w:val="clear" w:color="auto" w:fill="auto"/>
            <w:vAlign w:val="center"/>
          </w:tcPr>
          <w:p w14:paraId="27E941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权重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59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实际完成</w:t>
            </w:r>
          </w:p>
          <w:p w14:paraId="57D3F9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指标值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4E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eastAsia="宋体" w:cs="Times New Roman"/>
                <w:i w:val="0"/>
                <w:color w:val="000000"/>
                <w:kern w:val="0"/>
                <w:sz w:val="21"/>
                <w:szCs w:val="21"/>
                <w:u w:val="none"/>
                <w:lang w:val="en-US" w:eastAsia="zh-CN" w:bidi="ar"/>
              </w:rPr>
              <w:t>得分</w:t>
            </w:r>
          </w:p>
        </w:tc>
      </w:tr>
      <w:tr w14:paraId="7041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316CB54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6C39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产出指标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C9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5C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向上争取资金</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EA2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A7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160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5C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eastAsia" w:eastAsia="宋体" w:cs="Times New Roman"/>
                <w:i w:val="0"/>
                <w:color w:val="000000"/>
                <w:kern w:val="0"/>
                <w:sz w:val="21"/>
                <w:szCs w:val="21"/>
                <w:u w:val="none"/>
                <w:lang w:val="en-US" w:eastAsia="zh-CN" w:bidi="ar"/>
              </w:rPr>
              <w:t>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38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outlineLvl w:val="9"/>
              <w:rPr>
                <w:rFonts w:hint="default" w:ascii="Times New Roman" w:hAnsi="Times New Roman" w:eastAsia="宋体" w:cs="Times New Roman"/>
                <w:i w:val="0"/>
                <w:color w:val="000000"/>
                <w:sz w:val="21"/>
                <w:szCs w:val="21"/>
                <w:u w:val="none"/>
              </w:rPr>
            </w:pPr>
            <w:r>
              <w:rPr>
                <w:rFonts w:hint="eastAsia" w:eastAsia="宋体" w:cs="Times New Roman"/>
                <w:i w:val="0"/>
                <w:color w:val="000000"/>
                <w:kern w:val="0"/>
                <w:sz w:val="21"/>
                <w:szCs w:val="21"/>
                <w:u w:val="none"/>
                <w:lang w:val="en-US" w:eastAsia="zh-CN" w:bidi="ar"/>
              </w:rPr>
              <w:t>20</w:t>
            </w:r>
            <w:r>
              <w:rPr>
                <w:rFonts w:hint="default" w:ascii="Times New Roman" w:hAnsi="Times New Roman" w:eastAsia="宋体" w:cs="Times New Roman"/>
                <w:i w:val="0"/>
                <w:color w:val="000000"/>
                <w:kern w:val="0"/>
                <w:sz w:val="21"/>
                <w:szCs w:val="21"/>
                <w:u w:val="none"/>
                <w:lang w:val="en-US" w:eastAsia="zh-CN" w:bidi="ar"/>
              </w:rPr>
              <w:t>%</w:t>
            </w:r>
          </w:p>
        </w:tc>
        <w:tc>
          <w:tcPr>
            <w:tcW w:w="972" w:type="dxa"/>
            <w:tcBorders>
              <w:left w:val="single" w:color="000000" w:sz="4" w:space="0"/>
              <w:bottom w:val="single" w:color="000000" w:sz="4" w:space="0"/>
              <w:right w:val="single" w:color="000000" w:sz="4" w:space="0"/>
            </w:tcBorders>
            <w:shd w:val="clear" w:color="auto" w:fill="auto"/>
            <w:vAlign w:val="center"/>
          </w:tcPr>
          <w:p w14:paraId="5543BF9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317.71</w:t>
            </w:r>
          </w:p>
        </w:tc>
        <w:tc>
          <w:tcPr>
            <w:tcW w:w="650" w:type="dxa"/>
            <w:tcBorders>
              <w:left w:val="single" w:color="000000" w:sz="4" w:space="0"/>
              <w:bottom w:val="single" w:color="000000" w:sz="4" w:space="0"/>
              <w:right w:val="single" w:color="000000" w:sz="4" w:space="0"/>
            </w:tcBorders>
            <w:shd w:val="clear" w:color="auto" w:fill="auto"/>
            <w:vAlign w:val="center"/>
          </w:tcPr>
          <w:p w14:paraId="6BBCAC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eastAsia="宋体" w:cs="Times New Roman"/>
                <w:i w:val="0"/>
                <w:color w:val="000000"/>
                <w:kern w:val="0"/>
                <w:sz w:val="21"/>
                <w:szCs w:val="21"/>
                <w:u w:val="none"/>
                <w:lang w:val="en-US" w:eastAsia="zh-CN" w:bidi="ar"/>
              </w:rPr>
              <w:t>20</w:t>
            </w:r>
          </w:p>
        </w:tc>
      </w:tr>
      <w:tr w14:paraId="70F6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46478AA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479E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7E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536A">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慰问帮扶</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D53D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80E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2000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EB2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1"/>
                <w:szCs w:val="21"/>
                <w:u w:val="none"/>
                <w:lang w:eastAsia="zh-CN"/>
              </w:rPr>
            </w:pPr>
            <w:r>
              <w:rPr>
                <w:rFonts w:hint="eastAsia" w:eastAsia="宋体" w:cs="Times New Roman"/>
                <w:i w:val="0"/>
                <w:color w:val="000000"/>
                <w:sz w:val="21"/>
                <w:szCs w:val="21"/>
                <w:u w:val="none"/>
                <w:lang w:eastAsia="zh-CN"/>
              </w:rPr>
              <w:t>人次</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B6FB">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01DF">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2964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04B4">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10</w:t>
            </w:r>
          </w:p>
        </w:tc>
      </w:tr>
      <w:tr w14:paraId="0A54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3EE6D6F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1A6B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97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37EF">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按时完工率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134E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B6E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98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416D">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0409">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078D">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327E">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10</w:t>
            </w:r>
          </w:p>
        </w:tc>
      </w:tr>
      <w:tr w14:paraId="6D88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1EAD0A0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5CE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效益指标</w:t>
            </w:r>
          </w:p>
        </w:tc>
        <w:tc>
          <w:tcPr>
            <w:tcW w:w="1543" w:type="dxa"/>
            <w:tcBorders>
              <w:top w:val="single" w:color="000000" w:sz="4" w:space="0"/>
              <w:left w:val="single" w:color="000000" w:sz="4" w:space="0"/>
              <w:right w:val="single" w:color="000000" w:sz="4" w:space="0"/>
            </w:tcBorders>
            <w:shd w:val="clear" w:color="auto" w:fill="auto"/>
            <w:vAlign w:val="center"/>
          </w:tcPr>
          <w:p w14:paraId="71B704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经济效益指标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482B">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技能培训提高职工人均收入</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6FFA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A774">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616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FB9C">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1463">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8</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263B">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20</w:t>
            </w:r>
          </w:p>
        </w:tc>
      </w:tr>
      <w:tr w14:paraId="0D55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7E79E8A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77" w:type="dxa"/>
            <w:vMerge w:val="continue"/>
            <w:tcBorders>
              <w:left w:val="single" w:color="000000" w:sz="4" w:space="0"/>
              <w:right w:val="single" w:color="000000" w:sz="4" w:space="0"/>
            </w:tcBorders>
            <w:shd w:val="clear" w:color="auto" w:fill="auto"/>
            <w:vAlign w:val="center"/>
          </w:tcPr>
          <w:p w14:paraId="5B8D10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1543" w:type="dxa"/>
            <w:tcBorders>
              <w:top w:val="single" w:color="000000" w:sz="4" w:space="0"/>
              <w:left w:val="single" w:color="000000" w:sz="4" w:space="0"/>
              <w:right w:val="single" w:color="000000" w:sz="4" w:space="0"/>
            </w:tcBorders>
            <w:shd w:val="clear" w:color="auto" w:fill="auto"/>
            <w:vAlign w:val="center"/>
          </w:tcPr>
          <w:p w14:paraId="2265047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社会效益指标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09C4">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提高职工思想文化素质</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543F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定性</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8F98">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优良中低差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6BE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DECA">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8D40">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eastAsia" w:ascii="Times New Roman" w:hAnsi="Times New Roman" w:eastAsia="宋体" w:cs="Times New Roman"/>
                <w:i w:val="0"/>
                <w:color w:val="000000"/>
                <w:sz w:val="21"/>
                <w:szCs w:val="21"/>
                <w:u w:val="none"/>
                <w:lang w:eastAsia="zh-CN"/>
              </w:rPr>
            </w:pPr>
            <w:r>
              <w:rPr>
                <w:rFonts w:hint="eastAsia" w:eastAsia="宋体" w:cs="Times New Roman"/>
                <w:i w:val="0"/>
                <w:color w:val="000000"/>
                <w:sz w:val="21"/>
                <w:szCs w:val="21"/>
                <w:u w:val="none"/>
                <w:lang w:eastAsia="zh-CN"/>
              </w:rPr>
              <w:t>优</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FE93">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110</w:t>
            </w:r>
          </w:p>
        </w:tc>
      </w:tr>
      <w:tr w14:paraId="54E39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3BDAB5A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77" w:type="dxa"/>
            <w:vMerge w:val="continue"/>
            <w:tcBorders>
              <w:left w:val="single" w:color="000000" w:sz="4" w:space="0"/>
              <w:right w:val="single" w:color="000000" w:sz="4" w:space="0"/>
            </w:tcBorders>
            <w:shd w:val="clear" w:color="auto" w:fill="auto"/>
            <w:vAlign w:val="center"/>
          </w:tcPr>
          <w:p w14:paraId="5C234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1543" w:type="dxa"/>
            <w:tcBorders>
              <w:top w:val="single" w:color="000000" w:sz="4" w:space="0"/>
              <w:left w:val="single" w:color="000000" w:sz="4" w:space="0"/>
              <w:right w:val="single" w:color="000000" w:sz="4" w:space="0"/>
            </w:tcBorders>
            <w:shd w:val="clear" w:color="auto" w:fill="auto"/>
            <w:vAlign w:val="center"/>
          </w:tcPr>
          <w:p w14:paraId="3ABA46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可持续影响指标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8732">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促进经济持续稳定发展</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2DB4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定性</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984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优良中低差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0C7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AF68">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4BB3">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eastAsia" w:ascii="Times New Roman" w:hAnsi="Times New Roman" w:eastAsia="宋体" w:cs="Times New Roman"/>
                <w:i w:val="0"/>
                <w:color w:val="000000"/>
                <w:sz w:val="21"/>
                <w:szCs w:val="21"/>
                <w:u w:val="none"/>
                <w:lang w:eastAsia="zh-CN"/>
              </w:rPr>
            </w:pPr>
            <w:r>
              <w:rPr>
                <w:rFonts w:hint="eastAsia" w:eastAsia="宋体" w:cs="Times New Roman"/>
                <w:i w:val="0"/>
                <w:color w:val="000000"/>
                <w:sz w:val="21"/>
                <w:szCs w:val="21"/>
                <w:u w:val="none"/>
                <w:lang w:eastAsia="zh-CN"/>
              </w:rPr>
              <w:t>良</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63FF">
            <w:pPr>
              <w:keepNext w:val="0"/>
              <w:keepLines w:val="0"/>
              <w:pageBreakBefore w:val="0"/>
              <w:widowControl/>
              <w:tabs>
                <w:tab w:val="center" w:pos="193"/>
              </w:tabs>
              <w:kinsoku/>
              <w:wordWrap/>
              <w:overflowPunct/>
              <w:topLinePunct w:val="0"/>
              <w:autoSpaceDE/>
              <w:autoSpaceDN/>
              <w:bidi w:val="0"/>
              <w:adjustRightInd/>
              <w:snapToGrid/>
              <w:spacing w:line="300" w:lineRule="exact"/>
              <w:ind w:left="0" w:leftChars="0" w:firstLine="0" w:firstLineChars="0"/>
              <w:jc w:val="center"/>
              <w:outlineLvl w:val="9"/>
              <w:rPr>
                <w:rFonts w:hint="eastAsia"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8</w:t>
            </w:r>
          </w:p>
        </w:tc>
      </w:tr>
      <w:tr w14:paraId="09FC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6B033A6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372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满意度</w:t>
            </w:r>
          </w:p>
          <w:p w14:paraId="0AD94E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20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362A">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服务对象满意度指标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44AC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满意率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D25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95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96E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AE16">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4626">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98</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DAF7">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10</w:t>
            </w:r>
          </w:p>
        </w:tc>
      </w:tr>
      <w:tr w14:paraId="31CB4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bottom w:val="single" w:color="000000" w:sz="4" w:space="0"/>
              <w:right w:val="single" w:color="000000" w:sz="4" w:space="0"/>
            </w:tcBorders>
            <w:shd w:val="clear" w:color="auto" w:fill="auto"/>
            <w:vAlign w:val="center"/>
          </w:tcPr>
          <w:p w14:paraId="5B285D3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B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成本指标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F0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经济成本指标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EE7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机关运行费成本</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7239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277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873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元/人次</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82B7">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B9C1">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98</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99A4">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10</w:t>
            </w:r>
          </w:p>
        </w:tc>
      </w:tr>
    </w:tbl>
    <w:p w14:paraId="262CC12F">
      <w:pPr>
        <w:pStyle w:val="14"/>
        <w:ind w:left="0" w:leftChars="0" w:firstLine="0" w:firstLineChars="0"/>
        <w:rPr>
          <w:rFonts w:hint="eastAsia" w:ascii="CESI楷体-GB2312" w:hAnsi="CESI楷体-GB2312" w:eastAsia="CESI楷体-GB2312" w:cs="CESI楷体-GB2312"/>
          <w:b/>
          <w:bCs/>
          <w:sz w:val="24"/>
          <w:szCs w:val="24"/>
          <w:highlight w:val="none"/>
          <w:lang w:val="en-US" w:eastAsia="zh-CN"/>
        </w:rPr>
      </w:pPr>
      <w:r>
        <w:rPr>
          <w:rFonts w:hint="eastAsia" w:ascii="CESI楷体-GB2312" w:hAnsi="CESI楷体-GB2312" w:eastAsia="CESI楷体-GB2312" w:cs="CESI楷体-GB2312"/>
          <w:b/>
          <w:bCs/>
          <w:i w:val="0"/>
          <w:color w:val="000000"/>
          <w:kern w:val="0"/>
          <w:sz w:val="28"/>
          <w:szCs w:val="28"/>
          <w:u w:val="none"/>
          <w:lang w:val="en-US" w:eastAsia="zh-CN" w:bidi="ar"/>
        </w:rPr>
        <w:t>注：应与本单位2023年年初预算部门整体支出绩效目标表填写一致</w:t>
      </w:r>
    </w:p>
    <w:sectPr>
      <w:headerReference r:id="rId5" w:type="default"/>
      <w:footerReference r:id="rId6" w:type="default"/>
      <w:pgSz w:w="11906" w:h="16838"/>
      <w:pgMar w:top="2154" w:right="1474" w:bottom="1984" w:left="1587"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3"/>
      </w:pPr>
      <w:r>
        <w:separator/>
      </w:r>
    </w:p>
  </w:endnote>
  <w:endnote w:type="continuationSeparator" w:id="1">
    <w:p>
      <w:pPr>
        <w:spacing w:line="240" w:lineRule="auto"/>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1BE2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37DED">
                          <w:pPr>
                            <w:pStyle w:val="11"/>
                            <w:ind w:right="451" w:rightChars="141"/>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14:paraId="027638A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837DED">
                    <w:pPr>
                      <w:pStyle w:val="11"/>
                      <w:ind w:right="451" w:rightChars="141"/>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14:paraId="027638A2"/>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3"/>
      </w:pPr>
      <w:r>
        <w:separator/>
      </w:r>
    </w:p>
  </w:footnote>
  <w:footnote w:type="continuationSeparator" w:id="1">
    <w:p>
      <w:pPr>
        <w:spacing w:line="240" w:lineRule="auto"/>
        <w:ind w:firstLine="64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D1012">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2YWFhMjI0Mjk3YjVjNDdjOThiZmRjYjQ3YWQyNTQifQ=="/>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5DDC346"/>
    <w:rsid w:val="07CA4C73"/>
    <w:rsid w:val="0DC31556"/>
    <w:rsid w:val="1A3D6143"/>
    <w:rsid w:val="1ACA5195"/>
    <w:rsid w:val="1C013801"/>
    <w:rsid w:val="1DFD8D3B"/>
    <w:rsid w:val="1FB79DC9"/>
    <w:rsid w:val="1FBFC3F2"/>
    <w:rsid w:val="1FFFE033"/>
    <w:rsid w:val="236505DE"/>
    <w:rsid w:val="27F352A6"/>
    <w:rsid w:val="2D527252"/>
    <w:rsid w:val="2DB66BA8"/>
    <w:rsid w:val="2DDC1740"/>
    <w:rsid w:val="2EAE55F2"/>
    <w:rsid w:val="2EDF4302"/>
    <w:rsid w:val="2EFE1A04"/>
    <w:rsid w:val="35BBF80F"/>
    <w:rsid w:val="3ADF122C"/>
    <w:rsid w:val="3B736F08"/>
    <w:rsid w:val="3BE3D531"/>
    <w:rsid w:val="3D431A40"/>
    <w:rsid w:val="3EFF42CA"/>
    <w:rsid w:val="3F6FCA38"/>
    <w:rsid w:val="3FD5AF3D"/>
    <w:rsid w:val="3FFED8BE"/>
    <w:rsid w:val="3FFF43BB"/>
    <w:rsid w:val="433DCF8E"/>
    <w:rsid w:val="45FF973D"/>
    <w:rsid w:val="47550EBA"/>
    <w:rsid w:val="4BF7E09D"/>
    <w:rsid w:val="53BB74FC"/>
    <w:rsid w:val="53BC59C9"/>
    <w:rsid w:val="54AB5A1A"/>
    <w:rsid w:val="55FDDF92"/>
    <w:rsid w:val="55FFBC03"/>
    <w:rsid w:val="56CDA72E"/>
    <w:rsid w:val="573740E5"/>
    <w:rsid w:val="576F5916"/>
    <w:rsid w:val="577FDAE2"/>
    <w:rsid w:val="57FBE2C7"/>
    <w:rsid w:val="5A4FBF0D"/>
    <w:rsid w:val="5B335734"/>
    <w:rsid w:val="5B7F322F"/>
    <w:rsid w:val="5BCAB023"/>
    <w:rsid w:val="5DDA9B94"/>
    <w:rsid w:val="5EAB810D"/>
    <w:rsid w:val="5EFF9DA6"/>
    <w:rsid w:val="5F7751B9"/>
    <w:rsid w:val="5F9F7232"/>
    <w:rsid w:val="5F9F9588"/>
    <w:rsid w:val="5FBD32D2"/>
    <w:rsid w:val="5FD450B0"/>
    <w:rsid w:val="5FEF60CD"/>
    <w:rsid w:val="5FFB203D"/>
    <w:rsid w:val="5FFB2E5D"/>
    <w:rsid w:val="5FFB8CF9"/>
    <w:rsid w:val="622131BB"/>
    <w:rsid w:val="63DBAF21"/>
    <w:rsid w:val="6636451A"/>
    <w:rsid w:val="67DE80AA"/>
    <w:rsid w:val="69406AB7"/>
    <w:rsid w:val="69613BF1"/>
    <w:rsid w:val="697E3B47"/>
    <w:rsid w:val="69BF132E"/>
    <w:rsid w:val="6BFEE5F3"/>
    <w:rsid w:val="6CAFF34E"/>
    <w:rsid w:val="6CFFCF4F"/>
    <w:rsid w:val="6DFFF8B6"/>
    <w:rsid w:val="6E9FE641"/>
    <w:rsid w:val="6EEDE807"/>
    <w:rsid w:val="6EEE4BE4"/>
    <w:rsid w:val="6EF65E9C"/>
    <w:rsid w:val="6F3D9197"/>
    <w:rsid w:val="6FAB3EC4"/>
    <w:rsid w:val="6FB6AF41"/>
    <w:rsid w:val="6FD894C8"/>
    <w:rsid w:val="6FE36A9E"/>
    <w:rsid w:val="6FEFB2D1"/>
    <w:rsid w:val="6FFF97E6"/>
    <w:rsid w:val="71397E03"/>
    <w:rsid w:val="71FB5B08"/>
    <w:rsid w:val="73FB87D9"/>
    <w:rsid w:val="75EF0FBA"/>
    <w:rsid w:val="7607C293"/>
    <w:rsid w:val="76DFA4E8"/>
    <w:rsid w:val="778720BD"/>
    <w:rsid w:val="77A7D615"/>
    <w:rsid w:val="77FF366A"/>
    <w:rsid w:val="77FF8C96"/>
    <w:rsid w:val="77FFA8F9"/>
    <w:rsid w:val="7976604B"/>
    <w:rsid w:val="79F3BC78"/>
    <w:rsid w:val="79F526B5"/>
    <w:rsid w:val="7A5B6CAA"/>
    <w:rsid w:val="7A9314AC"/>
    <w:rsid w:val="7B4F6850"/>
    <w:rsid w:val="7B8148C5"/>
    <w:rsid w:val="7BABD5C4"/>
    <w:rsid w:val="7BB12055"/>
    <w:rsid w:val="7BBFADBA"/>
    <w:rsid w:val="7BFF492D"/>
    <w:rsid w:val="7C631402"/>
    <w:rsid w:val="7C978C63"/>
    <w:rsid w:val="7CA35AD0"/>
    <w:rsid w:val="7CDF8BC3"/>
    <w:rsid w:val="7CEB72A5"/>
    <w:rsid w:val="7D18750B"/>
    <w:rsid w:val="7DDFDC39"/>
    <w:rsid w:val="7E140770"/>
    <w:rsid w:val="7E5D92FB"/>
    <w:rsid w:val="7EE30820"/>
    <w:rsid w:val="7EF51D64"/>
    <w:rsid w:val="7EFFF488"/>
    <w:rsid w:val="7F574612"/>
    <w:rsid w:val="7F7F4920"/>
    <w:rsid w:val="7FB7C299"/>
    <w:rsid w:val="7FBFFB92"/>
    <w:rsid w:val="7FD76ACB"/>
    <w:rsid w:val="7FD89DA2"/>
    <w:rsid w:val="7FDBD805"/>
    <w:rsid w:val="7FDEC14D"/>
    <w:rsid w:val="7FDF8B76"/>
    <w:rsid w:val="7FDFE693"/>
    <w:rsid w:val="7FEFB5DD"/>
    <w:rsid w:val="7FEFBBD9"/>
    <w:rsid w:val="7FFD6A57"/>
    <w:rsid w:val="7FFDA7EC"/>
    <w:rsid w:val="7FFDEA1E"/>
    <w:rsid w:val="7FFEC1F6"/>
    <w:rsid w:val="7FFF2F52"/>
    <w:rsid w:val="8F7B4EC8"/>
    <w:rsid w:val="8FBD4480"/>
    <w:rsid w:val="8FF7AE96"/>
    <w:rsid w:val="955F5184"/>
    <w:rsid w:val="9CFE2855"/>
    <w:rsid w:val="9E3E35F8"/>
    <w:rsid w:val="9F6311D7"/>
    <w:rsid w:val="9FF54399"/>
    <w:rsid w:val="A46D76C1"/>
    <w:rsid w:val="A7FF43C2"/>
    <w:rsid w:val="ABF66286"/>
    <w:rsid w:val="AD9E3F04"/>
    <w:rsid w:val="ADA70464"/>
    <w:rsid w:val="AFE97CD3"/>
    <w:rsid w:val="B1BF5C63"/>
    <w:rsid w:val="B1FF3A18"/>
    <w:rsid w:val="B3CDF284"/>
    <w:rsid w:val="B3E8107B"/>
    <w:rsid w:val="B5F66F24"/>
    <w:rsid w:val="B7F5200A"/>
    <w:rsid w:val="BABDA1AA"/>
    <w:rsid w:val="BB1B4BF1"/>
    <w:rsid w:val="BBE5FE68"/>
    <w:rsid w:val="BBFEB9C1"/>
    <w:rsid w:val="BDF7406A"/>
    <w:rsid w:val="BE6FD8DB"/>
    <w:rsid w:val="BEEF57C2"/>
    <w:rsid w:val="BF6D5596"/>
    <w:rsid w:val="BFBEBB2C"/>
    <w:rsid w:val="BFC68935"/>
    <w:rsid w:val="BFDD0F1D"/>
    <w:rsid w:val="BFDDD096"/>
    <w:rsid w:val="C5B3F496"/>
    <w:rsid w:val="C96F3E49"/>
    <w:rsid w:val="CBBF14F3"/>
    <w:rsid w:val="CBE5DCF2"/>
    <w:rsid w:val="CCFCC735"/>
    <w:rsid w:val="CEEB8A74"/>
    <w:rsid w:val="D37FB642"/>
    <w:rsid w:val="D7F99798"/>
    <w:rsid w:val="D7FF400C"/>
    <w:rsid w:val="DBED1CD4"/>
    <w:rsid w:val="DBFBB328"/>
    <w:rsid w:val="DD6B3D41"/>
    <w:rsid w:val="DDD7453A"/>
    <w:rsid w:val="DE3E1FD7"/>
    <w:rsid w:val="DE5FA486"/>
    <w:rsid w:val="DFBE1B79"/>
    <w:rsid w:val="DFCF1FEC"/>
    <w:rsid w:val="DFE75A3D"/>
    <w:rsid w:val="DFED2117"/>
    <w:rsid w:val="DFEF594B"/>
    <w:rsid w:val="DFF3F960"/>
    <w:rsid w:val="DFFE0D61"/>
    <w:rsid w:val="E35C4B3C"/>
    <w:rsid w:val="E3A781CA"/>
    <w:rsid w:val="E5DFAB50"/>
    <w:rsid w:val="E6FC647F"/>
    <w:rsid w:val="EBFBC8F1"/>
    <w:rsid w:val="EBFDF757"/>
    <w:rsid w:val="ED758B5D"/>
    <w:rsid w:val="ED76A08D"/>
    <w:rsid w:val="EDBDD81F"/>
    <w:rsid w:val="EDFDB542"/>
    <w:rsid w:val="EF0FCF9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7E7F921"/>
    <w:rsid w:val="F7F7AC6A"/>
    <w:rsid w:val="F7FD93B9"/>
    <w:rsid w:val="FABF64A5"/>
    <w:rsid w:val="FABF7411"/>
    <w:rsid w:val="FBA53981"/>
    <w:rsid w:val="FBE4457E"/>
    <w:rsid w:val="FBFC558A"/>
    <w:rsid w:val="FBFF71AC"/>
    <w:rsid w:val="FBFFEA2B"/>
    <w:rsid w:val="FCCB27AA"/>
    <w:rsid w:val="FCFF8F4B"/>
    <w:rsid w:val="FD9595AD"/>
    <w:rsid w:val="FDF9DD9A"/>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BB1E09"/>
    <w:rsid w:val="FFBB6A0C"/>
    <w:rsid w:val="FFBD894B"/>
    <w:rsid w:val="FFBF33B3"/>
    <w:rsid w:val="FFD09362"/>
    <w:rsid w:val="FFD1DA08"/>
    <w:rsid w:val="FFD7DEDD"/>
    <w:rsid w:val="FFDE369F"/>
    <w:rsid w:val="FFEF98C9"/>
    <w:rsid w:val="FFEFCE62"/>
    <w:rsid w:val="FFF973B0"/>
    <w:rsid w:val="FFFB4F05"/>
    <w:rsid w:val="FFFEC8F5"/>
    <w:rsid w:val="FFFEF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8" w:lineRule="exact"/>
      <w:ind w:firstLine="880" w:firstLineChars="200"/>
      <w:jc w:val="both"/>
    </w:pPr>
    <w:rPr>
      <w:rFonts w:ascii="Times New Roman" w:hAnsi="Times New Roman" w:eastAsia="仿宋_GB2312" w:cs="Times New Roman"/>
      <w:b/>
      <w:kern w:val="2"/>
      <w:sz w:val="32"/>
      <w:szCs w:val="24"/>
      <w:lang w:val="en-US" w:eastAsia="zh-CN" w:bidi="ar-SA"/>
    </w:rPr>
  </w:style>
  <w:style w:type="paragraph" w:styleId="3">
    <w:name w:val="heading 1"/>
    <w:basedOn w:val="4"/>
    <w:next w:val="1"/>
    <w:autoRedefine/>
    <w:qFormat/>
    <w:uiPriority w:val="0"/>
    <w:pPr>
      <w:widowControl/>
      <w:adjustRightInd w:val="0"/>
      <w:snapToGrid w:val="0"/>
      <w:spacing w:beforeAutospacing="0" w:afterAutospacing="0" w:line="578" w:lineRule="exact"/>
      <w:ind w:firstLine="1410" w:firstLineChars="200"/>
      <w:jc w:val="left"/>
      <w:outlineLvl w:val="0"/>
    </w:pPr>
    <w:rPr>
      <w:rFonts w:ascii="宋体" w:hAnsi="宋体" w:eastAsia="黑体" w:cs="宋体"/>
      <w:b w:val="0"/>
      <w:bCs/>
      <w:kern w:val="36"/>
      <w:szCs w:val="48"/>
    </w:rPr>
  </w:style>
  <w:style w:type="paragraph" w:styleId="5">
    <w:name w:val="heading 2"/>
    <w:basedOn w:val="1"/>
    <w:next w:val="1"/>
    <w:link w:val="28"/>
    <w:semiHidden/>
    <w:unhideWhenUsed/>
    <w:qFormat/>
    <w:uiPriority w:val="0"/>
    <w:pPr>
      <w:keepNext/>
      <w:keepLines/>
      <w:adjustRightInd w:val="0"/>
      <w:snapToGrid w:val="0"/>
      <w:spacing w:beforeLines="0" w:beforeAutospacing="0" w:afterLines="0" w:afterAutospacing="0" w:line="578" w:lineRule="exact"/>
      <w:ind w:firstLine="880" w:firstLineChars="200"/>
      <w:outlineLvl w:val="1"/>
    </w:pPr>
    <w:rPr>
      <w:rFonts w:ascii="Arial" w:hAnsi="Arial" w:eastAsia="楷体"/>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4">
    <w:name w:val="Title"/>
    <w:basedOn w:val="1"/>
    <w:qFormat/>
    <w:uiPriority w:val="0"/>
    <w:pPr>
      <w:spacing w:before="240" w:beforeLines="0" w:beforeAutospacing="0" w:after="60" w:afterLines="0" w:afterAutospacing="0"/>
      <w:jc w:val="center"/>
      <w:outlineLvl w:val="0"/>
    </w:pPr>
    <w:rPr>
      <w:rFonts w:ascii="Arial" w:hAnsi="Arial"/>
      <w:sz w:val="32"/>
    </w:rPr>
  </w:style>
  <w:style w:type="paragraph" w:styleId="6">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7">
    <w:name w:val="Document Map"/>
    <w:basedOn w:val="1"/>
    <w:link w:val="21"/>
    <w:qFormat/>
    <w:uiPriority w:val="0"/>
    <w:rPr>
      <w:rFonts w:ascii="宋体" w:eastAsia="宋体"/>
      <w:sz w:val="18"/>
      <w:szCs w:val="18"/>
    </w:rPr>
  </w:style>
  <w:style w:type="paragraph" w:styleId="8">
    <w:name w:val="Body Text"/>
    <w:basedOn w:val="1"/>
    <w:next w:val="1"/>
    <w:qFormat/>
    <w:uiPriority w:val="0"/>
    <w:pPr>
      <w:spacing w:after="120"/>
    </w:pPr>
  </w:style>
  <w:style w:type="paragraph" w:styleId="9">
    <w:name w:val="Body Text Indent"/>
    <w:basedOn w:val="1"/>
    <w:qFormat/>
    <w:uiPriority w:val="0"/>
    <w:pPr>
      <w:spacing w:after="120"/>
      <w:ind w:leftChars="200"/>
    </w:pPr>
    <w:rPr>
      <w:rFonts w:ascii="仿宋_GB2312"/>
      <w:szCs w:val="32"/>
    </w:rPr>
  </w:style>
  <w:style w:type="paragraph" w:styleId="10">
    <w:name w:val="Balloon Text"/>
    <w:basedOn w:val="1"/>
    <w:semiHidden/>
    <w:qFormat/>
    <w:uiPriority w:val="0"/>
    <w:rPr>
      <w:sz w:val="18"/>
      <w:szCs w:val="18"/>
    </w:rPr>
  </w:style>
  <w:style w:type="paragraph" w:styleId="11">
    <w:name w:val="footer"/>
    <w:basedOn w:val="1"/>
    <w:link w:val="23"/>
    <w:qFormat/>
    <w:uiPriority w:val="99"/>
    <w:pPr>
      <w:tabs>
        <w:tab w:val="center" w:pos="4153"/>
        <w:tab w:val="right" w:pos="8306"/>
      </w:tabs>
      <w:snapToGrid w:val="0"/>
      <w:jc w:val="left"/>
    </w:pPr>
    <w:rPr>
      <w:rFonts w:eastAsia="宋体"/>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3">
    <w:name w:val="toc 1"/>
    <w:basedOn w:val="1"/>
    <w:next w:val="1"/>
    <w:qFormat/>
    <w:uiPriority w:val="0"/>
  </w:style>
  <w:style w:type="paragraph" w:styleId="14">
    <w:name w:val="Body Text First Indent 2"/>
    <w:basedOn w:val="9"/>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paragraph" w:customStyle="1" w:styleId="19">
    <w:name w:val="四号正文"/>
    <w:basedOn w:val="1"/>
    <w:link w:val="20"/>
    <w:qFormat/>
    <w:uiPriority w:val="0"/>
    <w:pPr>
      <w:spacing w:line="360" w:lineRule="auto"/>
    </w:pPr>
    <w:rPr>
      <w:rFonts w:ascii="??" w:hAnsi="??" w:eastAsia="宋体" w:cs="宋体"/>
      <w:color w:val="000000"/>
      <w:kern w:val="0"/>
      <w:sz w:val="28"/>
      <w:szCs w:val="21"/>
    </w:rPr>
  </w:style>
  <w:style w:type="character" w:customStyle="1" w:styleId="20">
    <w:name w:val="四号正文 Char"/>
    <w:basedOn w:val="17"/>
    <w:link w:val="19"/>
    <w:qFormat/>
    <w:uiPriority w:val="0"/>
    <w:rPr>
      <w:rFonts w:ascii="??" w:hAnsi="??" w:eastAsia="宋体" w:cs="宋体"/>
      <w:color w:val="000000"/>
      <w:sz w:val="28"/>
      <w:szCs w:val="21"/>
      <w:lang w:val="en-US" w:eastAsia="zh-CN" w:bidi="ar-SA"/>
    </w:rPr>
  </w:style>
  <w:style w:type="character" w:customStyle="1" w:styleId="21">
    <w:name w:val="文档结构图 Char"/>
    <w:basedOn w:val="17"/>
    <w:link w:val="7"/>
    <w:qFormat/>
    <w:uiPriority w:val="0"/>
    <w:rPr>
      <w:rFonts w:ascii="宋体"/>
      <w:kern w:val="2"/>
      <w:sz w:val="18"/>
      <w:szCs w:val="18"/>
    </w:rPr>
  </w:style>
  <w:style w:type="paragraph" w:customStyle="1" w:styleId="22">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3">
    <w:name w:val="页脚 Char"/>
    <w:basedOn w:val="17"/>
    <w:link w:val="11"/>
    <w:qFormat/>
    <w:uiPriority w:val="99"/>
    <w:rPr>
      <w:kern w:val="2"/>
      <w:sz w:val="18"/>
      <w:szCs w:val="18"/>
    </w:rPr>
  </w:style>
  <w:style w:type="character" w:customStyle="1" w:styleId="24">
    <w:name w:val="font31"/>
    <w:basedOn w:val="17"/>
    <w:qFormat/>
    <w:uiPriority w:val="0"/>
    <w:rPr>
      <w:rFonts w:hint="eastAsia" w:ascii="宋体" w:hAnsi="宋体" w:eastAsia="宋体" w:cs="宋体"/>
      <w:color w:val="000000"/>
      <w:sz w:val="24"/>
      <w:szCs w:val="24"/>
      <w:u w:val="none"/>
    </w:rPr>
  </w:style>
  <w:style w:type="character" w:customStyle="1" w:styleId="25">
    <w:name w:val="font51"/>
    <w:basedOn w:val="17"/>
    <w:qFormat/>
    <w:uiPriority w:val="0"/>
    <w:rPr>
      <w:rFonts w:hint="default" w:ascii="Wingdings 2" w:hAnsi="Wingdings 2" w:eastAsia="Wingdings 2" w:cs="Wingdings 2"/>
      <w:color w:val="000000"/>
      <w:sz w:val="18"/>
      <w:szCs w:val="18"/>
      <w:u w:val="none"/>
    </w:rPr>
  </w:style>
  <w:style w:type="character" w:customStyle="1" w:styleId="26">
    <w:name w:val="font01"/>
    <w:basedOn w:val="17"/>
    <w:qFormat/>
    <w:uiPriority w:val="0"/>
    <w:rPr>
      <w:rFonts w:ascii="宋体" w:hAnsi="宋体" w:eastAsia="宋体" w:cs="宋体"/>
      <w:color w:val="000000"/>
      <w:sz w:val="18"/>
      <w:szCs w:val="18"/>
      <w:u w:val="none"/>
    </w:rPr>
  </w:style>
  <w:style w:type="character" w:customStyle="1" w:styleId="27">
    <w:name w:val="font41"/>
    <w:basedOn w:val="17"/>
    <w:qFormat/>
    <w:uiPriority w:val="0"/>
    <w:rPr>
      <w:rFonts w:ascii="宋体" w:hAnsi="宋体" w:eastAsia="宋体" w:cs="宋体"/>
      <w:color w:val="000000"/>
      <w:sz w:val="18"/>
      <w:szCs w:val="18"/>
      <w:u w:val="none"/>
    </w:rPr>
  </w:style>
  <w:style w:type="character" w:customStyle="1" w:styleId="28">
    <w:name w:val="标题 2 Char"/>
    <w:link w:val="5"/>
    <w:qFormat/>
    <w:uiPriority w:val="0"/>
    <w:rPr>
      <w:rFonts w:ascii="Arial" w:hAnsi="Arial" w:eastAsia="楷体"/>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8</Pages>
  <Words>3524</Words>
  <Characters>3833</Characters>
  <Lines>2</Lines>
  <Paragraphs>1</Paragraphs>
  <TotalTime>92</TotalTime>
  <ScaleCrop>false</ScaleCrop>
  <LinksUpToDate>false</LinksUpToDate>
  <CharactersWithSpaces>3833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2019-05-29T19:06:00Z</dcterms:created>
  <dc:creator>陈萍</dc:creator>
  <cp:lastModifiedBy>cherry   cheng</cp:lastModifiedBy>
  <cp:lastPrinted>2024-09-23T01:07:00Z</cp:lastPrinted>
  <dcterms:modified xsi:type="dcterms:W3CDTF">2024-09-30T01:58:46Z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9843328116B54216ADB4CC1455931017_13</vt:lpwstr>
  </property>
</Properties>
</file>